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2"/>
          <w:szCs w:val="32"/>
        </w:rPr>
      </w:pPr>
    </w:p>
    <w:p>
      <w:pPr>
        <w:jc w:val="center"/>
        <w:rPr>
          <w:rFonts w:ascii="宋体"/>
          <w:b/>
          <w:sz w:val="32"/>
          <w:szCs w:val="32"/>
        </w:rPr>
      </w:pPr>
    </w:p>
    <w:p>
      <w:pPr>
        <w:jc w:val="center"/>
        <w:rPr>
          <w:rFonts w:ascii="宋体"/>
          <w:b/>
          <w:sz w:val="32"/>
          <w:szCs w:val="32"/>
        </w:rPr>
      </w:pP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《日光温室草莓固碳生产技术规程》</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pPr>
        <w:ind w:firstLine="642" w:firstLineChars="200"/>
        <w:rPr>
          <w:rFonts w:hint="eastAsia" w:ascii="仿宋" w:hAnsi="仿宋" w:eastAsia="仿宋"/>
          <w:b/>
          <w:sz w:val="32"/>
          <w:szCs w:val="32"/>
        </w:rPr>
      </w:pPr>
    </w:p>
    <w:p>
      <w:pPr>
        <w:ind w:firstLine="642" w:firstLineChars="200"/>
        <w:rPr>
          <w:rFonts w:hint="eastAsia" w:ascii="仿宋" w:hAnsi="仿宋" w:eastAsia="仿宋"/>
          <w:b/>
          <w:sz w:val="32"/>
          <w:szCs w:val="32"/>
        </w:rPr>
      </w:pPr>
    </w:p>
    <w:p>
      <w:pPr>
        <w:ind w:firstLine="642" w:firstLineChars="200"/>
        <w:rPr>
          <w:rFonts w:hint="eastAsia" w:ascii="仿宋" w:hAnsi="仿宋" w:eastAsia="仿宋"/>
          <w:b/>
          <w:sz w:val="32"/>
          <w:szCs w:val="32"/>
        </w:rPr>
      </w:pPr>
    </w:p>
    <w:p>
      <w:pPr>
        <w:ind w:firstLine="642" w:firstLineChars="200"/>
        <w:rPr>
          <w:rFonts w:hint="eastAsia" w:ascii="仿宋" w:hAnsi="仿宋" w:eastAsia="仿宋"/>
          <w:b/>
          <w:sz w:val="32"/>
          <w:szCs w:val="32"/>
        </w:rPr>
      </w:pPr>
    </w:p>
    <w:p>
      <w:pPr>
        <w:ind w:firstLine="642" w:firstLineChars="200"/>
        <w:rPr>
          <w:rFonts w:hint="eastAsia" w:ascii="仿宋" w:hAnsi="仿宋" w:eastAsia="仿宋"/>
          <w:b/>
          <w:sz w:val="32"/>
          <w:szCs w:val="32"/>
        </w:rPr>
      </w:pPr>
    </w:p>
    <w:p>
      <w:pPr>
        <w:ind w:firstLine="642" w:firstLineChars="200"/>
        <w:rPr>
          <w:rFonts w:hint="eastAsia" w:ascii="仿宋" w:hAnsi="仿宋" w:eastAsia="仿宋"/>
          <w:b/>
          <w:sz w:val="32"/>
          <w:szCs w:val="32"/>
        </w:rPr>
      </w:pPr>
    </w:p>
    <w:p>
      <w:pPr>
        <w:ind w:firstLine="642" w:firstLineChars="200"/>
        <w:rPr>
          <w:rFonts w:hint="eastAsia" w:ascii="仿宋" w:hAnsi="仿宋" w:eastAsia="仿宋"/>
          <w:b/>
          <w:sz w:val="32"/>
          <w:szCs w:val="32"/>
        </w:rPr>
      </w:pPr>
    </w:p>
    <w:p>
      <w:pPr>
        <w:ind w:firstLine="642" w:firstLineChars="200"/>
        <w:jc w:val="center"/>
        <w:rPr>
          <w:rFonts w:hint="eastAsia" w:ascii="仿宋" w:hAnsi="仿宋" w:eastAsia="仿宋"/>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spacing w:line="360" w:lineRule="auto"/>
        <w:jc w:val="center"/>
        <w:rPr>
          <w:rFonts w:hint="eastAsia" w:ascii="宋体" w:hAnsi="宋体"/>
          <w:b/>
          <w:kern w:val="22"/>
          <w:sz w:val="10"/>
          <w:szCs w:val="10"/>
        </w:rPr>
      </w:pPr>
      <w:r>
        <w:rPr>
          <w:rFonts w:hint="eastAsia" w:ascii="宋体" w:hAnsi="宋体"/>
          <w:b/>
          <w:kern w:val="22"/>
          <w:sz w:val="32"/>
          <w:szCs w:val="32"/>
        </w:rPr>
        <w:t>编制单位：山西农业大学</w:t>
      </w:r>
    </w:p>
    <w:p>
      <w:pPr>
        <w:jc w:val="center"/>
        <w:rPr>
          <w:rFonts w:hint="eastAsia" w:ascii="宋体" w:hAnsi="宋体"/>
          <w:b/>
          <w:sz w:val="32"/>
          <w:szCs w:val="32"/>
        </w:rPr>
      </w:pPr>
      <w:r>
        <w:rPr>
          <w:rFonts w:hint="eastAsia" w:ascii="宋体" w:hAnsi="宋体"/>
          <w:b/>
          <w:sz w:val="32"/>
          <w:szCs w:val="32"/>
        </w:rPr>
        <w:t xml:space="preserve"> 二〇二四年七月</w:t>
      </w:r>
    </w:p>
    <w:p>
      <w:pPr>
        <w:jc w:val="center"/>
        <w:rPr>
          <w:rFonts w:hint="eastAsia" w:ascii="宋体" w:hAnsi="宋体"/>
          <w:b/>
          <w:sz w:val="32"/>
          <w:szCs w:val="32"/>
        </w:rPr>
      </w:pPr>
    </w:p>
    <w:p>
      <w:pPr>
        <w:jc w:val="center"/>
        <w:rPr>
          <w:rFonts w:hint="eastAsia" w:ascii="宋体" w:hAnsi="宋体"/>
          <w:b/>
          <w:sz w:val="32"/>
          <w:szCs w:val="32"/>
        </w:rPr>
      </w:pPr>
    </w:p>
    <w:p>
      <w:pPr>
        <w:jc w:val="center"/>
        <w:rPr>
          <w:rFonts w:hint="eastAsia" w:ascii="宋体" w:hAnsi="宋体"/>
          <w:b/>
          <w:sz w:val="32"/>
          <w:szCs w:val="32"/>
        </w:rPr>
      </w:pPr>
    </w:p>
    <w:p>
      <w:pPr>
        <w:spacing w:line="520" w:lineRule="exact"/>
        <w:jc w:val="center"/>
        <w:rPr>
          <w:rFonts w:ascii="宋体"/>
          <w:b/>
          <w:sz w:val="30"/>
          <w:szCs w:val="30"/>
        </w:rPr>
      </w:pPr>
      <w:r>
        <w:rPr>
          <w:rFonts w:hint="eastAsia" w:ascii="宋体" w:hAnsi="宋体"/>
          <w:b/>
          <w:sz w:val="30"/>
          <w:szCs w:val="30"/>
        </w:rPr>
        <w:t>山西省地方标准</w:t>
      </w:r>
    </w:p>
    <w:p>
      <w:pPr>
        <w:spacing w:line="520" w:lineRule="exact"/>
        <w:jc w:val="center"/>
        <w:rPr>
          <w:rFonts w:ascii="宋体"/>
          <w:b/>
          <w:sz w:val="30"/>
          <w:szCs w:val="30"/>
        </w:rPr>
      </w:pPr>
      <w:r>
        <w:rPr>
          <w:rFonts w:hint="eastAsia" w:ascii="宋体" w:hAnsi="宋体"/>
          <w:b/>
          <w:sz w:val="30"/>
          <w:szCs w:val="30"/>
        </w:rPr>
        <w:t>《日光温室草莓固碳技术规程》</w:t>
      </w:r>
    </w:p>
    <w:p>
      <w:pPr>
        <w:spacing w:line="520" w:lineRule="exact"/>
        <w:jc w:val="center"/>
        <w:rPr>
          <w:rFonts w:hint="eastAsia" w:ascii="宋体" w:hAnsi="宋体"/>
          <w:b/>
          <w:sz w:val="30"/>
          <w:szCs w:val="30"/>
        </w:rPr>
      </w:pPr>
      <w:r>
        <w:rPr>
          <w:rFonts w:hint="eastAsia" w:ascii="宋体" w:hAnsi="宋体"/>
          <w:b/>
          <w:sz w:val="30"/>
          <w:szCs w:val="30"/>
        </w:rPr>
        <w:t>编制说明</w:t>
      </w:r>
    </w:p>
    <w:p>
      <w:pPr>
        <w:spacing w:line="520" w:lineRule="exact"/>
        <w:jc w:val="center"/>
        <w:rPr>
          <w:rFonts w:hint="eastAsia" w:ascii="宋体" w:hAnsi="宋体"/>
          <w:b/>
          <w:sz w:val="30"/>
          <w:szCs w:val="30"/>
        </w:rPr>
      </w:pPr>
    </w:p>
    <w:p>
      <w:pPr>
        <w:spacing w:line="360" w:lineRule="auto"/>
        <w:ind w:firstLine="480" w:firstLineChars="200"/>
        <w:outlineLvl w:val="0"/>
        <w:rPr>
          <w:rFonts w:ascii="黑体" w:eastAsia="黑体"/>
          <w:sz w:val="24"/>
        </w:rPr>
      </w:pPr>
      <w:r>
        <w:rPr>
          <w:rFonts w:hint="eastAsia" w:ascii="黑体" w:eastAsia="黑体"/>
          <w:sz w:val="24"/>
        </w:rPr>
        <w:t>一、工作简况</w:t>
      </w:r>
    </w:p>
    <w:p>
      <w:pPr>
        <w:spacing w:line="360" w:lineRule="auto"/>
        <w:ind w:left="465"/>
        <w:outlineLvl w:val="1"/>
        <w:rPr>
          <w:rFonts w:hint="eastAsia" w:ascii="楷体" w:hAnsi="楷体" w:eastAsia="楷体"/>
          <w:sz w:val="24"/>
        </w:rPr>
      </w:pPr>
      <w:r>
        <w:rPr>
          <w:rFonts w:hint="eastAsia" w:ascii="楷体" w:hAnsi="楷体" w:eastAsia="楷体"/>
          <w:sz w:val="24"/>
        </w:rPr>
        <w:t>1任务来源</w:t>
      </w:r>
    </w:p>
    <w:p>
      <w:pPr>
        <w:spacing w:line="360" w:lineRule="auto"/>
        <w:ind w:firstLine="480" w:firstLineChars="200"/>
        <w:jc w:val="left"/>
        <w:outlineLvl w:val="1"/>
        <w:rPr>
          <w:rFonts w:hint="eastAsia" w:ascii="仿宋" w:hAnsi="仿宋" w:eastAsia="仿宋"/>
          <w:sz w:val="24"/>
        </w:rPr>
      </w:pPr>
      <w:r>
        <w:rPr>
          <w:rFonts w:hint="eastAsia" w:ascii="仿宋" w:hAnsi="仿宋" w:eastAsia="仿宋"/>
          <w:sz w:val="24"/>
        </w:rPr>
        <w:t>按照山西省市场监督管理局关于2022年度省级地方标准复审结论公告（山西省地方标准公告2022年第20号），《日光温室草莓高效固碳生产技术规程》DB14/T 1554-2018被列入山西省地方标准修订计划，本标准由山西省农业标准化技术委员会（SXS/TC19）归口。</w:t>
      </w:r>
    </w:p>
    <w:p>
      <w:pPr>
        <w:spacing w:line="360" w:lineRule="auto"/>
        <w:ind w:left="465"/>
        <w:outlineLvl w:val="1"/>
        <w:rPr>
          <w:rFonts w:hint="eastAsia" w:ascii="楷体" w:hAnsi="楷体" w:eastAsia="楷体"/>
          <w:sz w:val="24"/>
        </w:rPr>
      </w:pPr>
      <w:r>
        <w:rPr>
          <w:rFonts w:hint="eastAsia" w:ascii="楷体" w:hAnsi="楷体" w:eastAsia="楷体"/>
          <w:sz w:val="24"/>
        </w:rPr>
        <w:t>2 起草</w:t>
      </w:r>
      <w:r>
        <w:rPr>
          <w:rFonts w:ascii="楷体" w:hAnsi="楷体" w:eastAsia="楷体"/>
          <w:sz w:val="24"/>
        </w:rPr>
        <w:t>单位和主要起草人</w:t>
      </w:r>
    </w:p>
    <w:p>
      <w:pPr>
        <w:spacing w:line="360" w:lineRule="auto"/>
        <w:ind w:firstLine="480" w:firstLineChars="200"/>
        <w:jc w:val="left"/>
        <w:outlineLvl w:val="1"/>
        <w:rPr>
          <w:rFonts w:hint="eastAsia" w:ascii="仿宋" w:hAnsi="仿宋" w:eastAsia="仿宋"/>
          <w:sz w:val="24"/>
        </w:rPr>
      </w:pPr>
      <w:r>
        <w:rPr>
          <w:rFonts w:ascii="仿宋" w:hAnsi="仿宋" w:eastAsia="仿宋"/>
          <w:sz w:val="24"/>
        </w:rPr>
        <w:t>起草任务由</w:t>
      </w:r>
      <w:r>
        <w:rPr>
          <w:rFonts w:hint="eastAsia" w:ascii="仿宋" w:hAnsi="仿宋" w:eastAsia="仿宋"/>
          <w:sz w:val="24"/>
        </w:rPr>
        <w:t>山西农业大学园艺学院承担。</w:t>
      </w:r>
    </w:p>
    <w:p>
      <w:pPr>
        <w:spacing w:line="360" w:lineRule="auto"/>
        <w:ind w:firstLine="480" w:firstLineChars="200"/>
        <w:jc w:val="center"/>
        <w:outlineLvl w:val="1"/>
        <w:rPr>
          <w:rFonts w:hint="eastAsia" w:ascii="仿宋" w:hAnsi="仿宋" w:eastAsia="仿宋"/>
          <w:sz w:val="24"/>
        </w:rPr>
      </w:pPr>
      <w:r>
        <w:rPr>
          <w:rFonts w:ascii="仿宋" w:hAnsi="仿宋" w:eastAsia="仿宋"/>
          <w:sz w:val="24"/>
        </w:rPr>
        <w:t>主要起草人信息</w:t>
      </w:r>
    </w:p>
    <w:tbl>
      <w:tblPr>
        <w:tblStyle w:val="12"/>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01"/>
        <w:gridCol w:w="2013"/>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spacing w:line="400" w:lineRule="exact"/>
              <w:jc w:val="center"/>
              <w:rPr>
                <w:rFonts w:hint="eastAsia" w:ascii="仿宋" w:hAnsi="仿宋" w:eastAsia="仿宋" w:cs="Courier New"/>
                <w:sz w:val="24"/>
              </w:rPr>
            </w:pPr>
            <w:r>
              <w:rPr>
                <w:rFonts w:hint="eastAsia" w:ascii="仿宋" w:hAnsi="仿宋" w:eastAsia="仿宋" w:cs="Courier New"/>
                <w:sz w:val="24"/>
              </w:rPr>
              <w:t>姓名</w:t>
            </w:r>
          </w:p>
        </w:tc>
        <w:tc>
          <w:tcPr>
            <w:tcW w:w="993" w:type="dxa"/>
          </w:tcPr>
          <w:p>
            <w:pPr>
              <w:spacing w:line="400" w:lineRule="exact"/>
              <w:jc w:val="center"/>
              <w:rPr>
                <w:rFonts w:hint="eastAsia" w:ascii="仿宋" w:hAnsi="仿宋" w:eastAsia="仿宋" w:cs="Courier New"/>
                <w:sz w:val="24"/>
              </w:rPr>
            </w:pPr>
            <w:r>
              <w:rPr>
                <w:rFonts w:hint="eastAsia" w:ascii="仿宋" w:hAnsi="仿宋" w:eastAsia="仿宋" w:cs="Courier New"/>
                <w:sz w:val="24"/>
              </w:rPr>
              <w:t>性别</w:t>
            </w:r>
          </w:p>
        </w:tc>
        <w:tc>
          <w:tcPr>
            <w:tcW w:w="1701" w:type="dxa"/>
          </w:tcPr>
          <w:p>
            <w:pPr>
              <w:spacing w:line="400" w:lineRule="exact"/>
              <w:jc w:val="center"/>
              <w:rPr>
                <w:rFonts w:hint="eastAsia" w:ascii="仿宋" w:hAnsi="仿宋" w:eastAsia="仿宋" w:cs="Courier New"/>
                <w:sz w:val="24"/>
              </w:rPr>
            </w:pPr>
            <w:r>
              <w:rPr>
                <w:rFonts w:hint="eastAsia" w:ascii="仿宋" w:hAnsi="仿宋" w:eastAsia="仿宋" w:cs="Courier New"/>
                <w:sz w:val="24"/>
              </w:rPr>
              <w:t>职务/职称</w:t>
            </w:r>
          </w:p>
        </w:tc>
        <w:tc>
          <w:tcPr>
            <w:tcW w:w="2013" w:type="dxa"/>
          </w:tcPr>
          <w:p>
            <w:pPr>
              <w:spacing w:line="400" w:lineRule="exact"/>
              <w:jc w:val="center"/>
              <w:rPr>
                <w:rFonts w:hint="eastAsia" w:ascii="仿宋" w:hAnsi="仿宋" w:eastAsia="仿宋" w:cs="Courier New"/>
                <w:sz w:val="24"/>
              </w:rPr>
            </w:pPr>
            <w:r>
              <w:rPr>
                <w:rFonts w:hint="eastAsia" w:ascii="仿宋" w:hAnsi="仿宋" w:eastAsia="仿宋" w:cs="Courier New"/>
                <w:sz w:val="24"/>
              </w:rPr>
              <w:t>工作单位</w:t>
            </w:r>
          </w:p>
        </w:tc>
        <w:tc>
          <w:tcPr>
            <w:tcW w:w="2268" w:type="dxa"/>
          </w:tcPr>
          <w:p>
            <w:pPr>
              <w:spacing w:line="400" w:lineRule="exact"/>
              <w:jc w:val="center"/>
              <w:rPr>
                <w:rFonts w:hint="eastAsia" w:ascii="仿宋" w:hAnsi="仿宋" w:eastAsia="仿宋" w:cs="Courier New"/>
                <w:sz w:val="24"/>
              </w:rPr>
            </w:pPr>
            <w:r>
              <w:rPr>
                <w:rFonts w:hint="eastAsia" w:ascii="仿宋" w:hAnsi="仿宋" w:eastAsia="仿宋" w:cs="Courier New"/>
                <w:sz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spacing w:line="400" w:lineRule="exact"/>
              <w:jc w:val="center"/>
              <w:rPr>
                <w:rFonts w:hint="eastAsia" w:ascii="宋体" w:hAnsi="宋体"/>
                <w:szCs w:val="21"/>
              </w:rPr>
            </w:pPr>
            <w:r>
              <w:rPr>
                <w:rFonts w:hint="eastAsia" w:ascii="宋体" w:hAnsi="宋体"/>
                <w:szCs w:val="21"/>
              </w:rPr>
              <w:t>李梅兰</w:t>
            </w:r>
          </w:p>
        </w:tc>
        <w:tc>
          <w:tcPr>
            <w:tcW w:w="993" w:type="dxa"/>
          </w:tcPr>
          <w:p>
            <w:pPr>
              <w:spacing w:line="400" w:lineRule="exact"/>
              <w:jc w:val="center"/>
              <w:rPr>
                <w:rFonts w:hint="eastAsia" w:ascii="宋体" w:hAnsi="宋体" w:cs="Courier New"/>
                <w:szCs w:val="21"/>
              </w:rPr>
            </w:pPr>
            <w:r>
              <w:rPr>
                <w:rFonts w:hint="eastAsia" w:ascii="宋体" w:hAnsi="宋体" w:cs="Courier New"/>
                <w:szCs w:val="21"/>
              </w:rPr>
              <w:t>女</w:t>
            </w:r>
          </w:p>
        </w:tc>
        <w:tc>
          <w:tcPr>
            <w:tcW w:w="1701" w:type="dxa"/>
          </w:tcPr>
          <w:p>
            <w:pPr>
              <w:spacing w:line="400" w:lineRule="exact"/>
              <w:jc w:val="center"/>
              <w:rPr>
                <w:rFonts w:hint="eastAsia" w:ascii="宋体" w:hAnsi="宋体" w:cs="Courier New"/>
                <w:szCs w:val="21"/>
              </w:rPr>
            </w:pPr>
            <w:r>
              <w:rPr>
                <w:rFonts w:hint="eastAsia" w:ascii="宋体" w:hAnsi="宋体" w:cs="Courier New"/>
                <w:szCs w:val="21"/>
              </w:rPr>
              <w:t>教授</w:t>
            </w:r>
          </w:p>
        </w:tc>
        <w:tc>
          <w:tcPr>
            <w:tcW w:w="2013" w:type="dxa"/>
          </w:tcPr>
          <w:p>
            <w:pPr>
              <w:spacing w:line="400" w:lineRule="exact"/>
              <w:jc w:val="center"/>
              <w:rPr>
                <w:rFonts w:hint="eastAsia" w:ascii="宋体" w:hAnsi="宋体" w:cs="Courier New"/>
                <w:szCs w:val="21"/>
              </w:rPr>
            </w:pPr>
            <w:r>
              <w:rPr>
                <w:rFonts w:hint="eastAsia" w:ascii="宋体" w:hAnsi="宋体" w:cs="Courier New"/>
                <w:szCs w:val="21"/>
              </w:rPr>
              <w:t>山西农业大学</w:t>
            </w:r>
          </w:p>
        </w:tc>
        <w:tc>
          <w:tcPr>
            <w:tcW w:w="2268" w:type="dxa"/>
          </w:tcPr>
          <w:p>
            <w:pPr>
              <w:spacing w:line="400" w:lineRule="exact"/>
              <w:jc w:val="center"/>
              <w:rPr>
                <w:rFonts w:hint="eastAsia" w:ascii="宋体" w:hAnsi="宋体" w:cs="Courier New"/>
                <w:szCs w:val="21"/>
              </w:rPr>
            </w:pPr>
            <w:r>
              <w:rPr>
                <w:rFonts w:hint="eastAsia" w:ascii="宋体" w:hAnsi="宋体" w:cs="Courier New"/>
                <w:szCs w:val="21"/>
              </w:rPr>
              <w:t>组织修订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spacing w:line="400" w:lineRule="exact"/>
              <w:jc w:val="center"/>
              <w:rPr>
                <w:rFonts w:hint="eastAsia" w:ascii="宋体" w:hAnsi="宋体"/>
                <w:szCs w:val="21"/>
              </w:rPr>
            </w:pPr>
            <w:r>
              <w:rPr>
                <w:rFonts w:hint="eastAsia" w:ascii="宋体" w:hAnsi="宋体" w:cs="Courier New"/>
                <w:szCs w:val="21"/>
              </w:rPr>
              <w:t>卫旭阳</w:t>
            </w:r>
          </w:p>
        </w:tc>
        <w:tc>
          <w:tcPr>
            <w:tcW w:w="993" w:type="dxa"/>
          </w:tcPr>
          <w:p>
            <w:pPr>
              <w:spacing w:line="400" w:lineRule="exact"/>
              <w:jc w:val="center"/>
              <w:rPr>
                <w:rFonts w:hint="eastAsia" w:ascii="宋体" w:hAnsi="宋体" w:cs="Courier New"/>
                <w:szCs w:val="21"/>
              </w:rPr>
            </w:pPr>
            <w:r>
              <w:rPr>
                <w:rFonts w:hint="eastAsia" w:ascii="宋体" w:hAnsi="宋体" w:cs="Courier New"/>
                <w:szCs w:val="21"/>
              </w:rPr>
              <w:t>男</w:t>
            </w:r>
          </w:p>
        </w:tc>
        <w:tc>
          <w:tcPr>
            <w:tcW w:w="1701" w:type="dxa"/>
          </w:tcPr>
          <w:p>
            <w:pPr>
              <w:spacing w:line="400" w:lineRule="exact"/>
              <w:jc w:val="center"/>
              <w:rPr>
                <w:rFonts w:hint="eastAsia" w:ascii="宋体" w:hAnsi="宋体" w:cs="Courier New"/>
                <w:szCs w:val="21"/>
              </w:rPr>
            </w:pPr>
            <w:r>
              <w:rPr>
                <w:rFonts w:hint="eastAsia" w:ascii="宋体" w:hAnsi="宋体" w:cs="Courier New"/>
                <w:szCs w:val="21"/>
              </w:rPr>
              <w:t>博士生</w:t>
            </w:r>
          </w:p>
        </w:tc>
        <w:tc>
          <w:tcPr>
            <w:tcW w:w="2013" w:type="dxa"/>
          </w:tcPr>
          <w:p>
            <w:pPr>
              <w:spacing w:line="400" w:lineRule="exact"/>
              <w:jc w:val="center"/>
              <w:rPr>
                <w:rFonts w:hint="eastAsia" w:ascii="宋体" w:hAnsi="宋体" w:cs="Courier New"/>
                <w:szCs w:val="21"/>
              </w:rPr>
            </w:pPr>
            <w:r>
              <w:rPr>
                <w:rFonts w:hint="eastAsia" w:ascii="宋体" w:hAnsi="宋体" w:cs="Courier New"/>
                <w:szCs w:val="21"/>
              </w:rPr>
              <w:t>山西农业大学</w:t>
            </w:r>
          </w:p>
        </w:tc>
        <w:tc>
          <w:tcPr>
            <w:tcW w:w="2268" w:type="dxa"/>
          </w:tcPr>
          <w:p>
            <w:pPr>
              <w:spacing w:line="400" w:lineRule="exact"/>
              <w:jc w:val="center"/>
              <w:rPr>
                <w:rFonts w:hint="eastAsia" w:ascii="宋体" w:hAnsi="宋体" w:cs="Courier New"/>
                <w:szCs w:val="21"/>
              </w:rPr>
            </w:pPr>
            <w:r>
              <w:rPr>
                <w:rFonts w:hint="eastAsia" w:ascii="宋体" w:hAnsi="宋体" w:cs="Courier New"/>
                <w:szCs w:val="21"/>
              </w:rPr>
              <w:t>技术指标验证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vAlign w:val="center"/>
          </w:tcPr>
          <w:p>
            <w:pPr>
              <w:spacing w:line="400" w:lineRule="exact"/>
              <w:jc w:val="center"/>
              <w:rPr>
                <w:rFonts w:hint="eastAsia" w:ascii="宋体" w:hAnsi="宋体"/>
                <w:szCs w:val="21"/>
              </w:rPr>
            </w:pPr>
            <w:r>
              <w:rPr>
                <w:rFonts w:hint="eastAsia" w:ascii="宋体" w:hAnsi="宋体" w:cs="Courier New"/>
                <w:szCs w:val="21"/>
              </w:rPr>
              <w:t>赵静</w:t>
            </w:r>
          </w:p>
        </w:tc>
        <w:tc>
          <w:tcPr>
            <w:tcW w:w="993" w:type="dxa"/>
            <w:vAlign w:val="center"/>
          </w:tcPr>
          <w:p>
            <w:pPr>
              <w:spacing w:line="400" w:lineRule="exact"/>
              <w:jc w:val="center"/>
              <w:rPr>
                <w:rFonts w:hint="eastAsia" w:ascii="宋体" w:hAnsi="宋体" w:cs="Courier New"/>
                <w:szCs w:val="21"/>
              </w:rPr>
            </w:pPr>
            <w:r>
              <w:rPr>
                <w:rFonts w:hint="eastAsia" w:ascii="宋体" w:hAnsi="宋体" w:cs="Courier New"/>
                <w:szCs w:val="21"/>
              </w:rPr>
              <w:t>女</w:t>
            </w:r>
          </w:p>
        </w:tc>
        <w:tc>
          <w:tcPr>
            <w:tcW w:w="1701" w:type="dxa"/>
            <w:vAlign w:val="center"/>
          </w:tcPr>
          <w:p>
            <w:pPr>
              <w:spacing w:line="400" w:lineRule="exact"/>
              <w:jc w:val="center"/>
              <w:rPr>
                <w:rFonts w:hint="eastAsia" w:ascii="宋体" w:hAnsi="宋体" w:cs="Courier New"/>
                <w:szCs w:val="21"/>
              </w:rPr>
            </w:pPr>
            <w:r>
              <w:rPr>
                <w:rFonts w:hint="eastAsia" w:ascii="宋体" w:hAnsi="宋体" w:cs="Courier New"/>
                <w:szCs w:val="21"/>
              </w:rPr>
              <w:t>助理工程师</w:t>
            </w:r>
          </w:p>
        </w:tc>
        <w:tc>
          <w:tcPr>
            <w:tcW w:w="2013" w:type="dxa"/>
            <w:vAlign w:val="center"/>
          </w:tcPr>
          <w:p>
            <w:pPr>
              <w:spacing w:line="400" w:lineRule="exact"/>
              <w:jc w:val="center"/>
              <w:rPr>
                <w:rFonts w:hint="eastAsia" w:ascii="宋体" w:hAnsi="宋体" w:cs="Courier New"/>
                <w:szCs w:val="21"/>
              </w:rPr>
            </w:pPr>
            <w:r>
              <w:rPr>
                <w:rFonts w:hint="eastAsia" w:ascii="宋体" w:hAnsi="宋体" w:cs="Courier New"/>
                <w:szCs w:val="21"/>
              </w:rPr>
              <w:t>山西省沁源县园林环卫事务中心</w:t>
            </w:r>
          </w:p>
        </w:tc>
        <w:tc>
          <w:tcPr>
            <w:tcW w:w="2268" w:type="dxa"/>
            <w:vAlign w:val="center"/>
          </w:tcPr>
          <w:p>
            <w:pPr>
              <w:spacing w:line="400" w:lineRule="exact"/>
              <w:jc w:val="center"/>
              <w:rPr>
                <w:rFonts w:hint="eastAsia" w:ascii="宋体" w:hAnsi="宋体" w:cs="Courier New"/>
                <w:szCs w:val="21"/>
              </w:rPr>
            </w:pPr>
            <w:r>
              <w:rPr>
                <w:rFonts w:hint="eastAsia" w:ascii="宋体" w:hAnsi="宋体" w:cs="Courier New"/>
                <w:szCs w:val="21"/>
              </w:rPr>
              <w:t>技术指标验证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spacing w:line="400" w:lineRule="exact"/>
              <w:jc w:val="center"/>
              <w:rPr>
                <w:rFonts w:hint="eastAsia" w:ascii="宋体" w:hAnsi="宋体"/>
                <w:szCs w:val="21"/>
              </w:rPr>
            </w:pPr>
            <w:r>
              <w:rPr>
                <w:rFonts w:hint="eastAsia" w:ascii="宋体" w:hAnsi="宋体" w:cs="Courier New"/>
                <w:szCs w:val="21"/>
              </w:rPr>
              <w:t>王慧兰</w:t>
            </w:r>
          </w:p>
        </w:tc>
        <w:tc>
          <w:tcPr>
            <w:tcW w:w="993" w:type="dxa"/>
          </w:tcPr>
          <w:p>
            <w:pPr>
              <w:spacing w:line="400" w:lineRule="exact"/>
              <w:jc w:val="center"/>
              <w:rPr>
                <w:rFonts w:hint="eastAsia" w:ascii="宋体" w:hAnsi="宋体" w:cs="Courier New"/>
                <w:szCs w:val="21"/>
              </w:rPr>
            </w:pPr>
            <w:r>
              <w:rPr>
                <w:rFonts w:hint="eastAsia" w:ascii="宋体" w:hAnsi="宋体" w:cs="Courier New"/>
                <w:szCs w:val="21"/>
              </w:rPr>
              <w:t>女</w:t>
            </w:r>
          </w:p>
        </w:tc>
        <w:tc>
          <w:tcPr>
            <w:tcW w:w="1701" w:type="dxa"/>
          </w:tcPr>
          <w:p>
            <w:pPr>
              <w:spacing w:line="400" w:lineRule="exact"/>
              <w:jc w:val="center"/>
              <w:rPr>
                <w:rFonts w:hint="eastAsia" w:ascii="宋体" w:hAnsi="宋体" w:cs="Courier New"/>
                <w:szCs w:val="21"/>
              </w:rPr>
            </w:pPr>
          </w:p>
        </w:tc>
        <w:tc>
          <w:tcPr>
            <w:tcW w:w="2013" w:type="dxa"/>
          </w:tcPr>
          <w:p>
            <w:pPr>
              <w:spacing w:line="400" w:lineRule="exact"/>
              <w:jc w:val="center"/>
              <w:rPr>
                <w:rFonts w:hint="eastAsia" w:ascii="宋体" w:hAnsi="宋体" w:cs="Courier New"/>
                <w:szCs w:val="21"/>
              </w:rPr>
            </w:pPr>
            <w:r>
              <w:rPr>
                <w:rFonts w:hint="eastAsia" w:ascii="宋体" w:hAnsi="宋体" w:cs="Courier New"/>
                <w:szCs w:val="21"/>
              </w:rPr>
              <w:t>山西市场监督局</w:t>
            </w:r>
          </w:p>
        </w:tc>
        <w:tc>
          <w:tcPr>
            <w:tcW w:w="2268" w:type="dxa"/>
          </w:tcPr>
          <w:p>
            <w:pPr>
              <w:spacing w:line="400" w:lineRule="exact"/>
              <w:jc w:val="center"/>
              <w:rPr>
                <w:rFonts w:hint="eastAsia" w:ascii="宋体" w:hAnsi="宋体" w:cs="Courier New"/>
                <w:szCs w:val="21"/>
              </w:rPr>
            </w:pPr>
            <w:r>
              <w:rPr>
                <w:rFonts w:hint="eastAsia" w:ascii="宋体" w:hAnsi="宋体" w:cs="Courier New"/>
                <w:szCs w:val="21"/>
              </w:rPr>
              <w:t>技术指标验证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spacing w:line="400" w:lineRule="exact"/>
              <w:jc w:val="center"/>
              <w:rPr>
                <w:rFonts w:hint="eastAsia" w:ascii="宋体" w:hAnsi="宋体"/>
                <w:szCs w:val="21"/>
              </w:rPr>
            </w:pPr>
            <w:r>
              <w:rPr>
                <w:rFonts w:hint="eastAsia" w:ascii="宋体" w:hAnsi="宋体" w:cs="Courier New"/>
                <w:szCs w:val="21"/>
              </w:rPr>
              <w:t>宋红霞</w:t>
            </w:r>
          </w:p>
        </w:tc>
        <w:tc>
          <w:tcPr>
            <w:tcW w:w="993" w:type="dxa"/>
          </w:tcPr>
          <w:p>
            <w:pPr>
              <w:spacing w:line="400" w:lineRule="exact"/>
              <w:jc w:val="center"/>
              <w:rPr>
                <w:rFonts w:hint="eastAsia" w:ascii="宋体" w:hAnsi="宋体" w:cs="Courier New"/>
                <w:szCs w:val="21"/>
              </w:rPr>
            </w:pPr>
            <w:r>
              <w:rPr>
                <w:rFonts w:hint="eastAsia" w:ascii="宋体" w:hAnsi="宋体" w:cs="Courier New"/>
                <w:szCs w:val="21"/>
              </w:rPr>
              <w:t>女</w:t>
            </w:r>
          </w:p>
        </w:tc>
        <w:tc>
          <w:tcPr>
            <w:tcW w:w="1701" w:type="dxa"/>
          </w:tcPr>
          <w:p>
            <w:pPr>
              <w:spacing w:line="400" w:lineRule="exact"/>
              <w:jc w:val="center"/>
              <w:rPr>
                <w:rFonts w:hint="eastAsia" w:ascii="宋体" w:hAnsi="宋体" w:cs="Courier New"/>
                <w:szCs w:val="21"/>
              </w:rPr>
            </w:pPr>
            <w:r>
              <w:rPr>
                <w:rFonts w:hint="eastAsia" w:ascii="宋体" w:hAnsi="宋体" w:cs="Courier New"/>
                <w:szCs w:val="21"/>
              </w:rPr>
              <w:t>副教授</w:t>
            </w:r>
          </w:p>
        </w:tc>
        <w:tc>
          <w:tcPr>
            <w:tcW w:w="2013" w:type="dxa"/>
          </w:tcPr>
          <w:p>
            <w:pPr>
              <w:spacing w:line="400" w:lineRule="exact"/>
              <w:jc w:val="center"/>
              <w:rPr>
                <w:rFonts w:hint="eastAsia" w:ascii="宋体" w:hAnsi="宋体" w:cs="Courier New"/>
                <w:szCs w:val="21"/>
              </w:rPr>
            </w:pPr>
            <w:r>
              <w:rPr>
                <w:rFonts w:hint="eastAsia" w:ascii="宋体" w:hAnsi="宋体" w:cs="Courier New"/>
                <w:szCs w:val="21"/>
              </w:rPr>
              <w:t>山西农业大学</w:t>
            </w:r>
          </w:p>
        </w:tc>
        <w:tc>
          <w:tcPr>
            <w:tcW w:w="2268" w:type="dxa"/>
          </w:tcPr>
          <w:p>
            <w:pPr>
              <w:spacing w:line="400" w:lineRule="exact"/>
              <w:jc w:val="center"/>
              <w:rPr>
                <w:rFonts w:hint="eastAsia" w:ascii="宋体" w:hAnsi="宋体" w:cs="Courier New"/>
                <w:szCs w:val="21"/>
              </w:rPr>
            </w:pPr>
            <w:r>
              <w:rPr>
                <w:rFonts w:hint="eastAsia" w:ascii="宋体" w:hAnsi="宋体" w:cs="Courier New"/>
                <w:szCs w:val="21"/>
              </w:rPr>
              <w:t>技术指标论证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spacing w:line="400" w:lineRule="exact"/>
              <w:jc w:val="center"/>
              <w:rPr>
                <w:rFonts w:hint="eastAsia" w:ascii="宋体" w:hAnsi="宋体"/>
                <w:szCs w:val="21"/>
              </w:rPr>
            </w:pPr>
            <w:r>
              <w:rPr>
                <w:rFonts w:hint="eastAsia" w:ascii="宋体" w:hAnsi="宋体" w:cs="Courier New"/>
                <w:szCs w:val="21"/>
              </w:rPr>
              <w:t>张静</w:t>
            </w:r>
          </w:p>
        </w:tc>
        <w:tc>
          <w:tcPr>
            <w:tcW w:w="993" w:type="dxa"/>
          </w:tcPr>
          <w:p>
            <w:pPr>
              <w:spacing w:line="400" w:lineRule="exact"/>
              <w:jc w:val="center"/>
              <w:rPr>
                <w:rFonts w:hint="eastAsia" w:ascii="宋体" w:hAnsi="宋体" w:cs="Courier New"/>
                <w:szCs w:val="21"/>
              </w:rPr>
            </w:pPr>
            <w:r>
              <w:rPr>
                <w:rFonts w:hint="eastAsia" w:ascii="宋体" w:hAnsi="宋体" w:cs="Courier New"/>
                <w:szCs w:val="21"/>
              </w:rPr>
              <w:t>女</w:t>
            </w:r>
          </w:p>
        </w:tc>
        <w:tc>
          <w:tcPr>
            <w:tcW w:w="1701" w:type="dxa"/>
          </w:tcPr>
          <w:p>
            <w:pPr>
              <w:spacing w:line="400" w:lineRule="exact"/>
              <w:jc w:val="center"/>
              <w:rPr>
                <w:rFonts w:hint="eastAsia" w:ascii="宋体" w:hAnsi="宋体" w:cs="Courier New"/>
                <w:szCs w:val="21"/>
              </w:rPr>
            </w:pPr>
            <w:r>
              <w:rPr>
                <w:rFonts w:hint="eastAsia" w:ascii="宋体" w:hAnsi="宋体" w:cs="Courier New"/>
                <w:szCs w:val="21"/>
              </w:rPr>
              <w:t>副教授</w:t>
            </w:r>
          </w:p>
        </w:tc>
        <w:tc>
          <w:tcPr>
            <w:tcW w:w="2013" w:type="dxa"/>
          </w:tcPr>
          <w:p>
            <w:pPr>
              <w:spacing w:line="400" w:lineRule="exact"/>
              <w:jc w:val="center"/>
              <w:rPr>
                <w:rFonts w:hint="eastAsia" w:ascii="宋体" w:hAnsi="宋体" w:cs="Courier New"/>
                <w:szCs w:val="21"/>
              </w:rPr>
            </w:pPr>
            <w:r>
              <w:rPr>
                <w:rFonts w:hint="eastAsia" w:ascii="宋体" w:hAnsi="宋体" w:cs="Courier New"/>
                <w:szCs w:val="21"/>
              </w:rPr>
              <w:t>山西农业大学</w:t>
            </w:r>
          </w:p>
        </w:tc>
        <w:tc>
          <w:tcPr>
            <w:tcW w:w="2268" w:type="dxa"/>
          </w:tcPr>
          <w:p>
            <w:pPr>
              <w:spacing w:line="400" w:lineRule="exact"/>
              <w:jc w:val="center"/>
              <w:rPr>
                <w:rFonts w:hint="eastAsia" w:ascii="宋体" w:hAnsi="宋体" w:cs="Courier New"/>
                <w:szCs w:val="21"/>
              </w:rPr>
            </w:pPr>
            <w:r>
              <w:rPr>
                <w:rFonts w:hint="eastAsia" w:ascii="宋体" w:hAnsi="宋体" w:cs="Courier New"/>
                <w:szCs w:val="21"/>
              </w:rPr>
              <w:t>技术指标论证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Pr>
          <w:p>
            <w:pPr>
              <w:spacing w:line="400" w:lineRule="exact"/>
              <w:jc w:val="center"/>
              <w:rPr>
                <w:rFonts w:hint="eastAsia" w:ascii="宋体" w:hAnsi="宋体"/>
                <w:szCs w:val="21"/>
              </w:rPr>
            </w:pPr>
            <w:r>
              <w:rPr>
                <w:rFonts w:hint="eastAsia" w:ascii="宋体" w:hAnsi="宋体" w:cs="Courier New"/>
                <w:szCs w:val="21"/>
              </w:rPr>
              <w:t>郑少文</w:t>
            </w:r>
          </w:p>
        </w:tc>
        <w:tc>
          <w:tcPr>
            <w:tcW w:w="993" w:type="dxa"/>
          </w:tcPr>
          <w:p>
            <w:pPr>
              <w:spacing w:line="400" w:lineRule="exact"/>
              <w:jc w:val="center"/>
              <w:rPr>
                <w:rFonts w:hint="eastAsia" w:ascii="宋体" w:hAnsi="宋体" w:cs="Courier New"/>
                <w:szCs w:val="21"/>
              </w:rPr>
            </w:pPr>
            <w:r>
              <w:rPr>
                <w:rFonts w:hint="eastAsia" w:ascii="宋体" w:hAnsi="宋体" w:cs="Courier New"/>
                <w:szCs w:val="21"/>
              </w:rPr>
              <w:t>男</w:t>
            </w:r>
          </w:p>
        </w:tc>
        <w:tc>
          <w:tcPr>
            <w:tcW w:w="1701" w:type="dxa"/>
          </w:tcPr>
          <w:p>
            <w:pPr>
              <w:spacing w:line="400" w:lineRule="exact"/>
              <w:jc w:val="center"/>
              <w:rPr>
                <w:rFonts w:hint="eastAsia" w:ascii="宋体" w:hAnsi="宋体" w:cs="Courier New"/>
                <w:szCs w:val="21"/>
              </w:rPr>
            </w:pPr>
            <w:r>
              <w:rPr>
                <w:rFonts w:hint="eastAsia" w:ascii="宋体" w:hAnsi="宋体" w:cs="Courier New"/>
                <w:szCs w:val="21"/>
              </w:rPr>
              <w:t>教授</w:t>
            </w:r>
          </w:p>
        </w:tc>
        <w:tc>
          <w:tcPr>
            <w:tcW w:w="2013" w:type="dxa"/>
          </w:tcPr>
          <w:p>
            <w:pPr>
              <w:spacing w:line="400" w:lineRule="exact"/>
              <w:jc w:val="center"/>
              <w:rPr>
                <w:rFonts w:hint="eastAsia" w:ascii="宋体" w:hAnsi="宋体" w:cs="Courier New"/>
                <w:szCs w:val="21"/>
              </w:rPr>
            </w:pPr>
            <w:r>
              <w:rPr>
                <w:rFonts w:hint="eastAsia" w:ascii="宋体" w:hAnsi="宋体" w:cs="Courier New"/>
                <w:szCs w:val="21"/>
              </w:rPr>
              <w:t>山西农业大学</w:t>
            </w:r>
          </w:p>
        </w:tc>
        <w:tc>
          <w:tcPr>
            <w:tcW w:w="2268" w:type="dxa"/>
          </w:tcPr>
          <w:p>
            <w:pPr>
              <w:spacing w:line="400" w:lineRule="exact"/>
              <w:jc w:val="center"/>
              <w:rPr>
                <w:rFonts w:hint="eastAsia" w:ascii="宋体" w:hAnsi="宋体" w:cs="Courier New"/>
                <w:szCs w:val="21"/>
              </w:rPr>
            </w:pPr>
            <w:r>
              <w:rPr>
                <w:rFonts w:hint="eastAsia" w:ascii="宋体" w:hAnsi="宋体" w:cs="Courier New"/>
                <w:szCs w:val="21"/>
              </w:rPr>
              <w:t>技术指标论证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spacing w:line="400" w:lineRule="exact"/>
              <w:jc w:val="center"/>
              <w:rPr>
                <w:rFonts w:hint="eastAsia" w:ascii="宋体" w:hAnsi="宋体"/>
                <w:szCs w:val="21"/>
              </w:rPr>
            </w:pPr>
            <w:r>
              <w:rPr>
                <w:rFonts w:hint="eastAsia" w:ascii="宋体" w:hAnsi="宋体" w:cs="Courier New"/>
                <w:szCs w:val="21"/>
              </w:rPr>
              <w:t>许小勇</w:t>
            </w:r>
          </w:p>
        </w:tc>
        <w:tc>
          <w:tcPr>
            <w:tcW w:w="993" w:type="dxa"/>
          </w:tcPr>
          <w:p>
            <w:pPr>
              <w:spacing w:line="400" w:lineRule="exact"/>
              <w:jc w:val="center"/>
              <w:rPr>
                <w:rFonts w:hint="eastAsia" w:ascii="宋体" w:hAnsi="宋体" w:cs="Courier New"/>
                <w:szCs w:val="21"/>
              </w:rPr>
            </w:pPr>
            <w:r>
              <w:rPr>
                <w:rFonts w:hint="eastAsia" w:ascii="宋体" w:hAnsi="宋体" w:cs="Courier New"/>
                <w:szCs w:val="21"/>
              </w:rPr>
              <w:t>男</w:t>
            </w:r>
          </w:p>
        </w:tc>
        <w:tc>
          <w:tcPr>
            <w:tcW w:w="1701" w:type="dxa"/>
          </w:tcPr>
          <w:p>
            <w:pPr>
              <w:spacing w:line="400" w:lineRule="exact"/>
              <w:jc w:val="center"/>
              <w:rPr>
                <w:rFonts w:hint="eastAsia" w:ascii="宋体" w:hAnsi="宋体" w:cs="Courier New"/>
                <w:szCs w:val="21"/>
              </w:rPr>
            </w:pPr>
            <w:r>
              <w:rPr>
                <w:rFonts w:hint="eastAsia" w:ascii="宋体" w:hAnsi="宋体" w:cs="Courier New"/>
                <w:szCs w:val="21"/>
              </w:rPr>
              <w:t>副教授</w:t>
            </w:r>
          </w:p>
        </w:tc>
        <w:tc>
          <w:tcPr>
            <w:tcW w:w="2013" w:type="dxa"/>
          </w:tcPr>
          <w:p>
            <w:pPr>
              <w:spacing w:line="400" w:lineRule="exact"/>
              <w:jc w:val="center"/>
              <w:rPr>
                <w:rFonts w:hint="eastAsia" w:ascii="宋体" w:hAnsi="宋体" w:cs="Courier New"/>
                <w:szCs w:val="21"/>
              </w:rPr>
            </w:pPr>
            <w:r>
              <w:rPr>
                <w:rFonts w:hint="eastAsia" w:ascii="宋体" w:hAnsi="宋体" w:cs="Courier New"/>
                <w:szCs w:val="21"/>
              </w:rPr>
              <w:t>山西农业大学</w:t>
            </w:r>
          </w:p>
        </w:tc>
        <w:tc>
          <w:tcPr>
            <w:tcW w:w="2268" w:type="dxa"/>
          </w:tcPr>
          <w:p>
            <w:pPr>
              <w:spacing w:line="400" w:lineRule="exact"/>
              <w:jc w:val="center"/>
              <w:rPr>
                <w:rFonts w:hint="eastAsia" w:ascii="宋体" w:hAnsi="宋体" w:cs="Courier New"/>
                <w:szCs w:val="21"/>
              </w:rPr>
            </w:pPr>
            <w:r>
              <w:rPr>
                <w:rFonts w:hint="eastAsia" w:ascii="宋体" w:hAnsi="宋体" w:cs="Courier New"/>
                <w:szCs w:val="21"/>
              </w:rPr>
              <w:t>技术指标论证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spacing w:line="400" w:lineRule="exact"/>
              <w:jc w:val="center"/>
              <w:rPr>
                <w:rFonts w:hint="eastAsia" w:ascii="宋体" w:hAnsi="宋体" w:cs="Courier New"/>
                <w:szCs w:val="21"/>
              </w:rPr>
            </w:pPr>
            <w:r>
              <w:rPr>
                <w:rFonts w:hint="eastAsia" w:ascii="宋体" w:hAnsi="宋体" w:cs="Courier New"/>
                <w:szCs w:val="21"/>
              </w:rPr>
              <w:t>侯雷平</w:t>
            </w:r>
          </w:p>
        </w:tc>
        <w:tc>
          <w:tcPr>
            <w:tcW w:w="993" w:type="dxa"/>
          </w:tcPr>
          <w:p>
            <w:pPr>
              <w:spacing w:line="400" w:lineRule="exact"/>
              <w:jc w:val="center"/>
              <w:rPr>
                <w:rFonts w:hint="eastAsia" w:ascii="宋体" w:hAnsi="宋体" w:cs="Courier New"/>
                <w:szCs w:val="21"/>
              </w:rPr>
            </w:pPr>
            <w:r>
              <w:rPr>
                <w:rFonts w:hint="eastAsia" w:ascii="宋体" w:hAnsi="宋体" w:cs="Courier New"/>
                <w:szCs w:val="21"/>
              </w:rPr>
              <w:t>男</w:t>
            </w:r>
          </w:p>
        </w:tc>
        <w:tc>
          <w:tcPr>
            <w:tcW w:w="1701" w:type="dxa"/>
          </w:tcPr>
          <w:p>
            <w:pPr>
              <w:spacing w:line="400" w:lineRule="exact"/>
              <w:jc w:val="center"/>
              <w:rPr>
                <w:rFonts w:hint="eastAsia" w:ascii="宋体" w:hAnsi="宋体" w:cs="Courier New"/>
                <w:szCs w:val="21"/>
              </w:rPr>
            </w:pPr>
            <w:r>
              <w:rPr>
                <w:rFonts w:hint="eastAsia" w:ascii="宋体" w:hAnsi="宋体" w:cs="Courier New"/>
                <w:szCs w:val="21"/>
              </w:rPr>
              <w:t>教授</w:t>
            </w:r>
          </w:p>
        </w:tc>
        <w:tc>
          <w:tcPr>
            <w:tcW w:w="2013" w:type="dxa"/>
          </w:tcPr>
          <w:p>
            <w:pPr>
              <w:spacing w:line="400" w:lineRule="exact"/>
              <w:jc w:val="center"/>
              <w:rPr>
                <w:rFonts w:hint="eastAsia" w:ascii="宋体" w:hAnsi="宋体" w:cs="Courier New"/>
                <w:szCs w:val="21"/>
              </w:rPr>
            </w:pPr>
            <w:r>
              <w:rPr>
                <w:rFonts w:hint="eastAsia" w:ascii="宋体" w:hAnsi="宋体" w:cs="Courier New"/>
                <w:szCs w:val="21"/>
              </w:rPr>
              <w:t>山西农业大学</w:t>
            </w:r>
          </w:p>
        </w:tc>
        <w:tc>
          <w:tcPr>
            <w:tcW w:w="2268" w:type="dxa"/>
          </w:tcPr>
          <w:p>
            <w:pPr>
              <w:spacing w:line="400" w:lineRule="exact"/>
              <w:jc w:val="center"/>
              <w:rPr>
                <w:rFonts w:hint="eastAsia" w:ascii="宋体" w:hAnsi="宋体" w:cs="Courier New"/>
                <w:szCs w:val="21"/>
              </w:rPr>
            </w:pPr>
            <w:r>
              <w:rPr>
                <w:rFonts w:hint="eastAsia" w:ascii="宋体" w:hAnsi="宋体" w:cs="Courier New"/>
                <w:szCs w:val="21"/>
              </w:rPr>
              <w:t>技术指标审核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spacing w:line="400" w:lineRule="exact"/>
              <w:jc w:val="center"/>
              <w:rPr>
                <w:rFonts w:hint="eastAsia" w:ascii="宋体" w:hAnsi="宋体"/>
                <w:szCs w:val="21"/>
              </w:rPr>
            </w:pPr>
            <w:r>
              <w:rPr>
                <w:rFonts w:hint="eastAsia" w:ascii="宋体" w:hAnsi="宋体" w:cs="Courier New"/>
                <w:szCs w:val="21"/>
              </w:rPr>
              <w:t>邢国明</w:t>
            </w:r>
          </w:p>
        </w:tc>
        <w:tc>
          <w:tcPr>
            <w:tcW w:w="993" w:type="dxa"/>
          </w:tcPr>
          <w:p>
            <w:pPr>
              <w:spacing w:line="400" w:lineRule="exact"/>
              <w:jc w:val="center"/>
              <w:rPr>
                <w:rFonts w:hint="eastAsia" w:ascii="宋体" w:hAnsi="宋体" w:cs="Courier New"/>
                <w:szCs w:val="21"/>
              </w:rPr>
            </w:pPr>
            <w:r>
              <w:rPr>
                <w:rFonts w:hint="eastAsia" w:ascii="宋体" w:hAnsi="宋体" w:cs="Courier New"/>
                <w:szCs w:val="21"/>
              </w:rPr>
              <w:t>男</w:t>
            </w:r>
          </w:p>
        </w:tc>
        <w:tc>
          <w:tcPr>
            <w:tcW w:w="1701" w:type="dxa"/>
          </w:tcPr>
          <w:p>
            <w:pPr>
              <w:spacing w:line="400" w:lineRule="exact"/>
              <w:jc w:val="center"/>
              <w:rPr>
                <w:rFonts w:hint="eastAsia" w:ascii="宋体" w:hAnsi="宋体" w:cs="Courier New"/>
                <w:szCs w:val="21"/>
              </w:rPr>
            </w:pPr>
            <w:r>
              <w:rPr>
                <w:rFonts w:hint="eastAsia" w:ascii="宋体" w:hAnsi="宋体" w:cs="Courier New"/>
                <w:szCs w:val="21"/>
              </w:rPr>
              <w:t>教授</w:t>
            </w:r>
          </w:p>
        </w:tc>
        <w:tc>
          <w:tcPr>
            <w:tcW w:w="2013" w:type="dxa"/>
          </w:tcPr>
          <w:p>
            <w:pPr>
              <w:spacing w:line="400" w:lineRule="exact"/>
              <w:jc w:val="center"/>
              <w:rPr>
                <w:rFonts w:hint="eastAsia" w:ascii="宋体" w:hAnsi="宋体" w:cs="Courier New"/>
                <w:szCs w:val="21"/>
              </w:rPr>
            </w:pPr>
            <w:r>
              <w:rPr>
                <w:rFonts w:hint="eastAsia" w:ascii="宋体" w:hAnsi="宋体" w:cs="Courier New"/>
                <w:szCs w:val="21"/>
              </w:rPr>
              <w:t>山西农业大学</w:t>
            </w:r>
          </w:p>
        </w:tc>
        <w:tc>
          <w:tcPr>
            <w:tcW w:w="2268" w:type="dxa"/>
          </w:tcPr>
          <w:p>
            <w:pPr>
              <w:spacing w:line="400" w:lineRule="exact"/>
              <w:jc w:val="center"/>
              <w:rPr>
                <w:rFonts w:hint="eastAsia" w:ascii="宋体" w:hAnsi="宋体" w:cs="Courier New"/>
                <w:szCs w:val="21"/>
              </w:rPr>
            </w:pPr>
            <w:r>
              <w:rPr>
                <w:rFonts w:hint="eastAsia" w:ascii="宋体" w:hAnsi="宋体" w:cs="Courier New"/>
                <w:szCs w:val="21"/>
              </w:rPr>
              <w:t>技术指标审核</w:t>
            </w:r>
          </w:p>
        </w:tc>
      </w:tr>
    </w:tbl>
    <w:p>
      <w:pPr>
        <w:spacing w:line="360" w:lineRule="auto"/>
        <w:ind w:firstLine="480" w:firstLineChars="200"/>
        <w:outlineLvl w:val="0"/>
        <w:rPr>
          <w:rFonts w:hint="eastAsia" w:ascii="楷体" w:hAnsi="楷体" w:eastAsia="楷体" w:cs="Courier New"/>
          <w:sz w:val="28"/>
          <w:szCs w:val="28"/>
        </w:rPr>
      </w:pPr>
      <w:r>
        <w:rPr>
          <w:rFonts w:ascii="黑体" w:eastAsia="黑体"/>
          <w:sz w:val="24"/>
        </w:rPr>
        <w:t>二、</w:t>
      </w:r>
      <w:r>
        <w:rPr>
          <w:rFonts w:hint="eastAsia" w:ascii="黑体" w:eastAsia="黑体"/>
          <w:sz w:val="24"/>
        </w:rPr>
        <w:t>修</w:t>
      </w:r>
      <w:r>
        <w:rPr>
          <w:rFonts w:ascii="黑体" w:eastAsia="黑体"/>
          <w:sz w:val="24"/>
        </w:rPr>
        <w:t>订标准的必要性和意义</w:t>
      </w:r>
    </w:p>
    <w:p>
      <w:pPr>
        <w:spacing w:line="360" w:lineRule="auto"/>
        <w:ind w:firstLine="480" w:firstLineChars="200"/>
        <w:rPr>
          <w:rFonts w:hint="eastAsia" w:ascii="仿宋" w:hAnsi="仿宋" w:eastAsia="仿宋"/>
          <w:sz w:val="24"/>
        </w:rPr>
      </w:pPr>
      <w:r>
        <w:rPr>
          <w:rFonts w:hint="eastAsia" w:ascii="仿宋" w:hAnsi="仿宋" w:eastAsia="仿宋"/>
          <w:sz w:val="24"/>
        </w:rPr>
        <w:t>CO</w:t>
      </w:r>
      <w:r>
        <w:rPr>
          <w:rFonts w:hint="eastAsia" w:ascii="仿宋" w:hAnsi="仿宋" w:eastAsia="仿宋"/>
          <w:sz w:val="24"/>
          <w:vertAlign w:val="subscript"/>
        </w:rPr>
        <w:t>2</w:t>
      </w:r>
      <w:r>
        <w:rPr>
          <w:rFonts w:hint="eastAsia" w:ascii="仿宋" w:hAnsi="仿宋" w:eastAsia="仿宋"/>
          <w:sz w:val="24"/>
        </w:rPr>
        <w:t>气体是植物光合作用的主要原料，因此栽培环境中CO</w:t>
      </w:r>
      <w:r>
        <w:rPr>
          <w:rFonts w:hint="eastAsia" w:ascii="仿宋" w:hAnsi="仿宋" w:eastAsia="仿宋"/>
          <w:sz w:val="24"/>
          <w:vertAlign w:val="subscript"/>
        </w:rPr>
        <w:t>2</w:t>
      </w:r>
      <w:r>
        <w:rPr>
          <w:rFonts w:hint="eastAsia" w:ascii="仿宋" w:hAnsi="仿宋" w:eastAsia="仿宋"/>
          <w:sz w:val="24"/>
        </w:rPr>
        <w:t>的含量关系到园艺植物生长的优劣和产量的高低。设施蔬菜具有节能、高效、高投入、高产出和半密闭环境的特点，是开展富碳农业产业创新链的首选产业。</w:t>
      </w:r>
    </w:p>
    <w:p>
      <w:pPr>
        <w:spacing w:line="360" w:lineRule="auto"/>
        <w:ind w:firstLine="480" w:firstLineChars="200"/>
        <w:rPr>
          <w:rFonts w:hint="eastAsia" w:ascii="仿宋" w:hAnsi="仿宋" w:eastAsia="仿宋"/>
          <w:sz w:val="24"/>
        </w:rPr>
      </w:pPr>
      <w:r>
        <w:rPr>
          <w:rFonts w:hint="eastAsia" w:ascii="仿宋" w:hAnsi="仿宋" w:eastAsia="仿宋"/>
          <w:sz w:val="24"/>
        </w:rPr>
        <w:t>2014年，山西省煤基重点科技攻关项目——“设施蔬菜高效固碳技术研究与示范”经由科技厅批准立项。其中，“设施草莓高效固碳研究及生产技术标准化”是大项目的重要研究内容。研究表明，草莓植株施用CO</w:t>
      </w:r>
      <w:r>
        <w:rPr>
          <w:rFonts w:hint="eastAsia" w:ascii="仿宋" w:hAnsi="仿宋" w:eastAsia="仿宋"/>
          <w:sz w:val="24"/>
          <w:vertAlign w:val="subscript"/>
        </w:rPr>
        <w:t>2</w:t>
      </w:r>
      <w:r>
        <w:rPr>
          <w:rFonts w:hint="eastAsia" w:ascii="仿宋" w:hAnsi="仿宋" w:eastAsia="仿宋"/>
          <w:sz w:val="24"/>
        </w:rPr>
        <w:t>，有明显的增产效果，果实、叶片、茎的生长速度加快，采收期明显提早，经济效益显著。</w:t>
      </w:r>
    </w:p>
    <w:p>
      <w:pPr>
        <w:spacing w:line="360" w:lineRule="auto"/>
        <w:ind w:firstLine="480" w:firstLineChars="200"/>
        <w:rPr>
          <w:rFonts w:hint="eastAsia" w:ascii="仿宋" w:hAnsi="仿宋" w:eastAsia="仿宋"/>
          <w:sz w:val="24"/>
        </w:rPr>
      </w:pPr>
      <w:r>
        <w:rPr>
          <w:rFonts w:hint="eastAsia" w:ascii="仿宋" w:hAnsi="仿宋" w:eastAsia="仿宋"/>
          <w:sz w:val="24"/>
        </w:rPr>
        <w:t>在产业发展急需和项目研究获得突破的背景下，2017年初，由山西农业大学提出，经山西省质量技术监督局“晋质监局发〔2017〕126号”文件批准立项，确定编制山西省地方标准《日光温室草莓高效固碳栽培技术规程》这项任务并在2018年发布。随着标准的实施，发现有些方面的数据有些变化，需要进行修正。栽培方面，也可以更加细化，更具有可指导和操作性，因此需要进行标准的修订，使其更方便地为农民和园区相关种植者服务，促进我省草莓产业的发展。</w:t>
      </w:r>
    </w:p>
    <w:p>
      <w:pPr>
        <w:spacing w:line="360" w:lineRule="auto"/>
        <w:ind w:firstLine="480" w:firstLineChars="200"/>
        <w:outlineLvl w:val="0"/>
        <w:rPr>
          <w:rFonts w:ascii="黑体" w:eastAsia="黑体"/>
          <w:sz w:val="24"/>
        </w:rPr>
      </w:pPr>
      <w:r>
        <w:rPr>
          <w:rFonts w:ascii="黑体" w:eastAsia="黑体"/>
          <w:sz w:val="24"/>
        </w:rPr>
        <w:t>三、主要</w:t>
      </w:r>
      <w:r>
        <w:rPr>
          <w:rFonts w:hint="eastAsia" w:ascii="黑体" w:eastAsia="黑体"/>
          <w:sz w:val="24"/>
        </w:rPr>
        <w:t>修订</w:t>
      </w:r>
      <w:r>
        <w:rPr>
          <w:rFonts w:ascii="黑体" w:eastAsia="黑体"/>
          <w:sz w:val="24"/>
        </w:rPr>
        <w:t>工作过程</w:t>
      </w:r>
    </w:p>
    <w:p>
      <w:pPr>
        <w:spacing w:line="360" w:lineRule="auto"/>
        <w:ind w:firstLine="480" w:firstLineChars="200"/>
        <w:rPr>
          <w:rFonts w:eastAsia="仿宋_GB2312"/>
          <w:bCs/>
          <w:sz w:val="24"/>
        </w:rPr>
      </w:pPr>
      <w:r>
        <w:rPr>
          <w:rFonts w:hint="eastAsia" w:eastAsia="仿宋_GB2312"/>
          <w:bCs/>
          <w:sz w:val="24"/>
        </w:rPr>
        <w:t>1、成立标准修订工作组</w:t>
      </w:r>
    </w:p>
    <w:p>
      <w:pPr>
        <w:spacing w:line="360" w:lineRule="auto"/>
        <w:ind w:firstLine="480" w:firstLineChars="200"/>
        <w:rPr>
          <w:rFonts w:hint="eastAsia" w:ascii="仿宋" w:hAnsi="仿宋" w:eastAsia="仿宋"/>
          <w:bCs/>
          <w:sz w:val="24"/>
        </w:rPr>
      </w:pPr>
      <w:r>
        <w:rPr>
          <w:rFonts w:hint="eastAsia" w:ascii="仿宋" w:hAnsi="仿宋" w:eastAsia="仿宋"/>
          <w:bCs/>
          <w:sz w:val="24"/>
        </w:rPr>
        <w:t>接到项目任务以后，我们积极组织技术骨干成立《日光温室草莓固碳生产技术规程》修订工作组，工作组成员具有较丰富的专业知识和实践经验，熟悉业务，了解标准化工作的相关规定并具有较强的文字表达能力。工作组成立后，认真学习了《标准化工作导则的第1部分：标准的结构和编写》（GB/T 1.1-2009），并查阅了相关的国家标准与地方标准，明确了内部分工及进度要求，责任落实到人，根据近年来的实施情况进行规程内容的修正。</w:t>
      </w:r>
    </w:p>
    <w:p>
      <w:pPr>
        <w:spacing w:line="360" w:lineRule="auto"/>
        <w:ind w:firstLine="480" w:firstLineChars="200"/>
        <w:rPr>
          <w:rFonts w:eastAsia="仿宋_GB2312"/>
          <w:bCs/>
          <w:sz w:val="24"/>
        </w:rPr>
      </w:pPr>
      <w:r>
        <w:rPr>
          <w:rFonts w:hint="eastAsia" w:eastAsia="仿宋_GB2312"/>
          <w:bCs/>
          <w:sz w:val="24"/>
        </w:rPr>
        <w:t>2、调研考察</w:t>
      </w:r>
    </w:p>
    <w:p>
      <w:pPr>
        <w:spacing w:line="360" w:lineRule="auto"/>
        <w:ind w:firstLine="480" w:firstLineChars="200"/>
        <w:rPr>
          <w:rFonts w:hint="eastAsia" w:ascii="仿宋" w:hAnsi="仿宋" w:eastAsia="仿宋"/>
          <w:bCs/>
          <w:sz w:val="24"/>
        </w:rPr>
      </w:pPr>
      <w:r>
        <w:rPr>
          <w:rFonts w:hint="eastAsia" w:ascii="仿宋" w:hAnsi="仿宋" w:eastAsia="仿宋"/>
          <w:bCs/>
          <w:sz w:val="24"/>
        </w:rPr>
        <w:t>为了解近年来山西省日光温室草莓的生产现状和标准的实施情况，规程修订组组织相关人员，先后几次分赴省内运城、吕梁、长治、晋中等多个地区进行调研，广泛听取相关部门和农户的意见和建议，查阅文献，收集相关的国家、行业和地方标准，充分讨论后结合近年的田间实施、试验数据对规程的内容进行修订。</w:t>
      </w:r>
    </w:p>
    <w:p>
      <w:pPr>
        <w:spacing w:line="360" w:lineRule="auto"/>
        <w:ind w:firstLine="480" w:firstLineChars="200"/>
        <w:rPr>
          <w:rFonts w:eastAsia="仿宋_GB2312"/>
          <w:bCs/>
          <w:sz w:val="24"/>
        </w:rPr>
      </w:pPr>
      <w:r>
        <w:rPr>
          <w:rFonts w:hint="eastAsia" w:eastAsia="仿宋_GB2312"/>
          <w:bCs/>
          <w:sz w:val="24"/>
        </w:rPr>
        <w:t>3、收集资料</w:t>
      </w:r>
    </w:p>
    <w:p>
      <w:pPr>
        <w:spacing w:line="360" w:lineRule="auto"/>
        <w:ind w:firstLine="480" w:firstLineChars="200"/>
        <w:jc w:val="left"/>
        <w:rPr>
          <w:rFonts w:hint="eastAsia" w:ascii="仿宋" w:hAnsi="仿宋" w:eastAsia="仿宋"/>
          <w:bCs/>
          <w:sz w:val="24"/>
        </w:rPr>
      </w:pPr>
      <w:r>
        <w:rPr>
          <w:rFonts w:hint="eastAsia" w:ascii="仿宋" w:hAnsi="仿宋" w:eastAsia="仿宋"/>
          <w:bCs/>
          <w:sz w:val="24"/>
        </w:rPr>
        <w:t>项目组在充分考察调研的基础上，通过查阅文献，收集与草莓生产相关的国家、行业和地方标准，并结合近几年标准的实施推广和试验数据，对内容进行核对，分析讨论以确保数据资料的准确性。</w:t>
      </w:r>
      <w:r>
        <w:rPr>
          <w:rFonts w:ascii="仿宋" w:hAnsi="仿宋" w:eastAsia="仿宋"/>
          <w:bCs/>
          <w:sz w:val="24"/>
        </w:rPr>
        <w:t xml:space="preserve"> </w:t>
      </w:r>
    </w:p>
    <w:p>
      <w:pPr>
        <w:spacing w:line="360" w:lineRule="auto"/>
        <w:ind w:firstLine="480" w:firstLineChars="200"/>
        <w:rPr>
          <w:rFonts w:eastAsia="仿宋_GB2312"/>
          <w:bCs/>
          <w:sz w:val="24"/>
        </w:rPr>
      </w:pPr>
      <w:r>
        <w:rPr>
          <w:rFonts w:hint="eastAsia" w:eastAsia="仿宋_GB2312"/>
          <w:bCs/>
          <w:sz w:val="24"/>
        </w:rPr>
        <w:t>4、修订文本</w:t>
      </w:r>
    </w:p>
    <w:p>
      <w:pPr>
        <w:spacing w:line="360" w:lineRule="auto"/>
        <w:ind w:firstLine="480" w:firstLineChars="200"/>
        <w:rPr>
          <w:rFonts w:hint="eastAsia" w:ascii="仿宋" w:hAnsi="仿宋" w:eastAsia="仿宋"/>
          <w:bCs/>
          <w:sz w:val="24"/>
        </w:rPr>
      </w:pPr>
      <w:r>
        <w:rPr>
          <w:rFonts w:hint="eastAsia" w:ascii="仿宋" w:hAnsi="仿宋" w:eastAsia="仿宋"/>
          <w:bCs/>
          <w:sz w:val="24"/>
        </w:rPr>
        <w:t>项目组根据标准实施过程中发现的问题，对一些指标进行了修正，如CO</w:t>
      </w:r>
      <w:r>
        <w:rPr>
          <w:rFonts w:hint="eastAsia" w:ascii="仿宋" w:hAnsi="仿宋" w:eastAsia="仿宋"/>
          <w:bCs/>
          <w:sz w:val="24"/>
          <w:vertAlign w:val="subscript"/>
        </w:rPr>
        <w:t>2</w:t>
      </w:r>
      <w:r>
        <w:rPr>
          <w:rFonts w:hint="eastAsia" w:ascii="仿宋" w:hAnsi="仿宋" w:eastAsia="仿宋"/>
          <w:bCs/>
          <w:sz w:val="24"/>
        </w:rPr>
        <w:t>的浓度我们根据后来的实验结果降低为700 ppm。栽培方面，加入了一些新的肥料类型，另外还将栽培的些措施和指标细化，于2023年年底完成了《日光温室草莓固碳生产技术规程》修订初稿，更具有可指导和操作性，方便生产者进行参考。初稿形成后，修订组组织山西省园艺产业发展中心、山西省农产品质量安全检验检测中心、山西省蔬菜产业技术体系的相关专家以及太原市农业农村局和清徐、曲沃等相关实施应用单位人员进行了初稿讨论和意见征集，形成征求意见稿。</w:t>
      </w:r>
    </w:p>
    <w:p>
      <w:pPr>
        <w:spacing w:line="360" w:lineRule="auto"/>
        <w:ind w:firstLine="480" w:firstLineChars="200"/>
        <w:rPr>
          <w:rFonts w:hint="eastAsia" w:eastAsia="仿宋_GB2312"/>
          <w:bCs/>
          <w:sz w:val="24"/>
          <w:lang w:eastAsia="zh-CN"/>
        </w:rPr>
      </w:pPr>
      <w:r>
        <w:rPr>
          <w:rFonts w:hint="eastAsia" w:eastAsia="仿宋_GB2312"/>
          <w:bCs/>
          <w:sz w:val="24"/>
        </w:rPr>
        <w:t>5、</w:t>
      </w:r>
      <w:r>
        <w:rPr>
          <w:rFonts w:hint="eastAsia" w:eastAsia="仿宋_GB2312"/>
          <w:bCs/>
          <w:sz w:val="24"/>
          <w:lang w:eastAsia="zh-CN"/>
        </w:rPr>
        <w:t>标准审查</w:t>
      </w:r>
    </w:p>
    <w:p>
      <w:pPr>
        <w:spacing w:line="360" w:lineRule="auto"/>
        <w:ind w:firstLine="480" w:firstLineChars="200"/>
        <w:rPr>
          <w:rFonts w:hint="eastAsia" w:ascii="仿宋" w:hAnsi="仿宋" w:eastAsia="仿宋"/>
          <w:bCs/>
          <w:sz w:val="24"/>
        </w:rPr>
      </w:pPr>
      <w:r>
        <w:rPr>
          <w:rFonts w:hint="eastAsia" w:ascii="仿宋" w:hAnsi="仿宋" w:eastAsia="仿宋"/>
          <w:bCs/>
          <w:sz w:val="24"/>
        </w:rPr>
        <w:t>2024年3月9日，山西省农业标准化技术委员组织召开</w:t>
      </w:r>
      <w:r>
        <w:rPr>
          <w:rFonts w:hint="eastAsia" w:ascii="仿宋" w:hAnsi="仿宋" w:eastAsia="仿宋"/>
          <w:bCs/>
          <w:sz w:val="24"/>
          <w:lang w:eastAsia="zh-CN"/>
        </w:rPr>
        <w:t>标准审查</w:t>
      </w:r>
      <w:r>
        <w:rPr>
          <w:rFonts w:hint="eastAsia" w:ascii="仿宋" w:hAnsi="仿宋" w:eastAsia="仿宋"/>
          <w:bCs/>
          <w:sz w:val="24"/>
        </w:rPr>
        <w:t>会，专家组对本标准送审稿、编制说明进行了审查。</w:t>
      </w:r>
      <w:bookmarkStart w:id="0" w:name="_GoBack"/>
      <w:bookmarkEnd w:id="0"/>
    </w:p>
    <w:p>
      <w:pPr>
        <w:numPr>
          <w:ilvl w:val="0"/>
          <w:numId w:val="3"/>
        </w:numPr>
        <w:spacing w:line="360" w:lineRule="auto"/>
        <w:ind w:firstLine="480" w:firstLineChars="200"/>
        <w:rPr>
          <w:rFonts w:eastAsia="仿宋_GB2312"/>
          <w:bCs/>
          <w:sz w:val="24"/>
        </w:rPr>
      </w:pPr>
      <w:r>
        <w:rPr>
          <w:rFonts w:hint="eastAsia" w:eastAsia="仿宋_GB2312"/>
          <w:bCs/>
          <w:sz w:val="24"/>
        </w:rPr>
        <w:t>征求意见</w:t>
      </w:r>
    </w:p>
    <w:p>
      <w:pPr>
        <w:spacing w:line="360" w:lineRule="auto"/>
        <w:rPr>
          <w:rFonts w:hint="eastAsia" w:ascii="仿宋" w:hAnsi="仿宋" w:eastAsia="仿宋"/>
          <w:bCs/>
          <w:sz w:val="24"/>
        </w:rPr>
      </w:pPr>
      <w:r>
        <w:rPr>
          <w:rFonts w:hint="eastAsia" w:eastAsia="仿宋_GB2312"/>
          <w:bCs/>
          <w:sz w:val="24"/>
        </w:rPr>
        <w:t xml:space="preserve">    </w:t>
      </w:r>
      <w:r>
        <w:rPr>
          <w:rFonts w:hint="eastAsia" w:ascii="仿宋" w:hAnsi="仿宋" w:eastAsia="仿宋"/>
          <w:bCs/>
          <w:sz w:val="24"/>
        </w:rPr>
        <w:t>报省市场监督管理局挂网向社会公开征求意见1个月。</w:t>
      </w:r>
    </w:p>
    <w:p>
      <w:pPr>
        <w:numPr>
          <w:ilvl w:val="0"/>
          <w:numId w:val="3"/>
        </w:numPr>
        <w:spacing w:line="360" w:lineRule="auto"/>
        <w:ind w:firstLine="480" w:firstLineChars="200"/>
        <w:rPr>
          <w:rFonts w:eastAsia="仿宋_GB2312"/>
          <w:bCs/>
          <w:sz w:val="24"/>
        </w:rPr>
      </w:pPr>
      <w:r>
        <w:rPr>
          <w:rFonts w:hint="eastAsia" w:eastAsia="仿宋_GB2312"/>
          <w:bCs/>
          <w:sz w:val="24"/>
        </w:rPr>
        <w:t>完善文本</w:t>
      </w:r>
    </w:p>
    <w:p>
      <w:pPr>
        <w:spacing w:line="360" w:lineRule="auto"/>
        <w:ind w:firstLine="480" w:firstLineChars="200"/>
        <w:rPr>
          <w:rFonts w:hint="eastAsia" w:ascii="仿宋" w:hAnsi="仿宋" w:eastAsia="仿宋"/>
          <w:bCs/>
          <w:sz w:val="24"/>
        </w:rPr>
      </w:pPr>
      <w:r>
        <w:rPr>
          <w:rFonts w:hint="eastAsia" w:ascii="仿宋" w:hAnsi="仿宋" w:eastAsia="仿宋"/>
          <w:bCs/>
          <w:sz w:val="24"/>
        </w:rPr>
        <w:t>进一步修改完善后形成标准送审稿，标委会表决......</w:t>
      </w:r>
    </w:p>
    <w:p>
      <w:pPr>
        <w:numPr>
          <w:ilvl w:val="0"/>
          <w:numId w:val="3"/>
        </w:numPr>
        <w:spacing w:line="360" w:lineRule="auto"/>
        <w:ind w:firstLine="480" w:firstLineChars="200"/>
        <w:rPr>
          <w:rFonts w:eastAsia="仿宋_GB2312"/>
          <w:bCs/>
          <w:sz w:val="24"/>
        </w:rPr>
      </w:pPr>
      <w:r>
        <w:rPr>
          <w:rFonts w:hint="eastAsia" w:eastAsia="仿宋_GB2312"/>
          <w:bCs/>
          <w:sz w:val="24"/>
        </w:rPr>
        <w:t>形成报批稿、提交报批材料</w:t>
      </w:r>
    </w:p>
    <w:p>
      <w:pPr>
        <w:spacing w:line="360" w:lineRule="auto"/>
        <w:ind w:firstLine="480" w:firstLineChars="200"/>
        <w:rPr>
          <w:rFonts w:hint="eastAsia" w:ascii="仿宋" w:hAnsi="仿宋" w:eastAsia="仿宋"/>
          <w:bCs/>
          <w:sz w:val="24"/>
        </w:rPr>
      </w:pPr>
      <w:r>
        <w:rPr>
          <w:rFonts w:hint="eastAsia" w:ascii="仿宋" w:hAnsi="仿宋" w:eastAsia="仿宋"/>
          <w:bCs/>
          <w:sz w:val="24"/>
        </w:rPr>
        <w:t>2024年xx月xx日，根据评审意见进一步修改完善后形成标准报批稿，并完善相关资料，提交报批材料。</w:t>
      </w:r>
    </w:p>
    <w:p>
      <w:pPr>
        <w:spacing w:line="360" w:lineRule="auto"/>
        <w:ind w:firstLine="480" w:firstLineChars="200"/>
        <w:outlineLvl w:val="0"/>
        <w:rPr>
          <w:rFonts w:ascii="黑体" w:eastAsia="黑体"/>
          <w:sz w:val="24"/>
        </w:rPr>
      </w:pPr>
      <w:r>
        <w:rPr>
          <w:rFonts w:hint="eastAsia" w:ascii="黑体" w:eastAsia="黑体"/>
          <w:sz w:val="24"/>
        </w:rPr>
        <w:t>四</w:t>
      </w:r>
      <w:r>
        <w:rPr>
          <w:rFonts w:ascii="黑体" w:eastAsia="黑体"/>
          <w:sz w:val="24"/>
        </w:rPr>
        <w:t>、</w:t>
      </w:r>
      <w:r>
        <w:rPr>
          <w:rFonts w:hint="eastAsia" w:ascii="黑体" w:eastAsia="黑体"/>
          <w:sz w:val="24"/>
        </w:rPr>
        <w:t>制修</w:t>
      </w:r>
      <w:r>
        <w:rPr>
          <w:rFonts w:ascii="黑体" w:eastAsia="黑体"/>
          <w:sz w:val="24"/>
        </w:rPr>
        <w:t>订标准的原则和依据，与现行法律、法规、标准的关系</w:t>
      </w:r>
    </w:p>
    <w:p>
      <w:pPr>
        <w:spacing w:line="360" w:lineRule="auto"/>
        <w:ind w:firstLine="480" w:firstLineChars="200"/>
        <w:rPr>
          <w:rFonts w:hint="eastAsia" w:ascii="仿宋" w:hAnsi="仿宋" w:eastAsia="仿宋"/>
          <w:bCs/>
          <w:sz w:val="24"/>
        </w:rPr>
      </w:pPr>
      <w:r>
        <w:rPr>
          <w:rFonts w:hint="eastAsia" w:ascii="仿宋" w:hAnsi="仿宋" w:eastAsia="仿宋"/>
          <w:bCs/>
          <w:sz w:val="24"/>
        </w:rPr>
        <w:t>1</w:t>
      </w:r>
      <w:r>
        <w:rPr>
          <w:rFonts w:hint="eastAsia" w:ascii="仿宋" w:hAnsi="仿宋" w:eastAsia="仿宋"/>
          <w:bCs/>
          <w:sz w:val="24"/>
          <w:lang w:eastAsia="zh-CN"/>
        </w:rPr>
        <w:t>、</w:t>
      </w:r>
      <w:r>
        <w:rPr>
          <w:rFonts w:hint="eastAsia" w:ascii="仿宋" w:hAnsi="仿宋" w:eastAsia="仿宋"/>
          <w:bCs/>
          <w:sz w:val="24"/>
        </w:rPr>
        <w:t>修订标准的原则和依据</w:t>
      </w:r>
    </w:p>
    <w:p>
      <w:pPr>
        <w:spacing w:line="360" w:lineRule="auto"/>
        <w:ind w:firstLine="480" w:firstLineChars="200"/>
        <w:rPr>
          <w:rFonts w:hint="eastAsia" w:ascii="仿宋" w:hAnsi="仿宋" w:eastAsia="仿宋"/>
          <w:bCs/>
          <w:sz w:val="24"/>
        </w:rPr>
      </w:pPr>
      <w:r>
        <w:rPr>
          <w:rFonts w:hint="eastAsia" w:ascii="仿宋" w:hAnsi="仿宋" w:eastAsia="仿宋"/>
          <w:bCs/>
          <w:sz w:val="24"/>
        </w:rPr>
        <w:t>本规程以日光温室草莓高效固碳生产技术为研究对象，规定了术语和定义、温室结构与性能、种苗、整地施肥、定植、田间管理、二氧化碳施肥、病虫害防治、采收和生产档案等主要技术环节。</w:t>
      </w:r>
    </w:p>
    <w:p>
      <w:pPr>
        <w:spacing w:line="360" w:lineRule="auto"/>
        <w:ind w:firstLine="480" w:firstLineChars="200"/>
        <w:rPr>
          <w:rFonts w:hint="eastAsia" w:ascii="仿宋" w:hAnsi="仿宋" w:eastAsia="仿宋"/>
          <w:bCs/>
          <w:sz w:val="24"/>
        </w:rPr>
      </w:pPr>
      <w:r>
        <w:rPr>
          <w:rFonts w:hint="eastAsia" w:ascii="仿宋" w:hAnsi="仿宋" w:eastAsia="仿宋"/>
          <w:bCs/>
          <w:sz w:val="24"/>
        </w:rPr>
        <w:t>在规程具体指标编制过程中，坚持从山西省日光温室草莓栽培的生产实际出发，坚持科学性、实用性和可操作性的原则，力求轻简化，并符合当前日光温室草莓生产的具体要求。</w:t>
      </w:r>
    </w:p>
    <w:p>
      <w:pPr>
        <w:spacing w:line="360" w:lineRule="auto"/>
        <w:ind w:firstLine="480" w:firstLineChars="200"/>
        <w:rPr>
          <w:rFonts w:hint="eastAsia" w:ascii="仿宋" w:hAnsi="仿宋" w:eastAsia="仿宋"/>
          <w:bCs/>
          <w:sz w:val="24"/>
        </w:rPr>
      </w:pPr>
      <w:r>
        <w:rPr>
          <w:rFonts w:hint="eastAsia" w:ascii="仿宋" w:hAnsi="仿宋" w:eastAsia="仿宋"/>
          <w:bCs/>
          <w:sz w:val="24"/>
        </w:rPr>
        <w:t>主要根据日光温室内不同季节、不同天气条件下、不同时间段的CO</w:t>
      </w:r>
      <w:r>
        <w:rPr>
          <w:rFonts w:hint="eastAsia" w:ascii="仿宋" w:hAnsi="仿宋" w:eastAsia="仿宋"/>
          <w:bCs/>
          <w:sz w:val="24"/>
          <w:vertAlign w:val="subscript"/>
        </w:rPr>
        <w:t>2</w:t>
      </w:r>
      <w:r>
        <w:rPr>
          <w:rFonts w:hint="eastAsia" w:ascii="仿宋" w:hAnsi="仿宋" w:eastAsia="仿宋"/>
          <w:bCs/>
          <w:sz w:val="24"/>
        </w:rPr>
        <w:t>变化规律、草莓栽培过程中的生产苗质量、定植方法、肥水管理措施、病虫害等发生情况进行确定。</w:t>
      </w:r>
    </w:p>
    <w:p>
      <w:pPr>
        <w:spacing w:line="360" w:lineRule="auto"/>
        <w:ind w:firstLine="480" w:firstLineChars="200"/>
        <w:rPr>
          <w:rFonts w:hint="eastAsia" w:ascii="仿宋" w:hAnsi="仿宋" w:eastAsia="仿宋"/>
          <w:bCs/>
          <w:sz w:val="24"/>
        </w:rPr>
      </w:pPr>
      <w:r>
        <w:rPr>
          <w:rFonts w:hint="eastAsia" w:ascii="仿宋" w:hAnsi="仿宋" w:eastAsia="仿宋"/>
          <w:bCs/>
          <w:sz w:val="24"/>
        </w:rPr>
        <w:t>（1）科学性：本规程相关内容是项目组成员多年来各类科研项目以及调查研究的部分内容，是通过试验研究和多点调查等形成的相关内容，并经过多年试验验证和反复修正，最终修订形成本规程，技术参数可靠。</w:t>
      </w:r>
    </w:p>
    <w:p>
      <w:pPr>
        <w:spacing w:line="360" w:lineRule="auto"/>
        <w:ind w:firstLine="480" w:firstLineChars="200"/>
        <w:rPr>
          <w:rFonts w:hint="eastAsia" w:ascii="仿宋" w:hAnsi="仿宋" w:eastAsia="仿宋"/>
          <w:bCs/>
          <w:sz w:val="24"/>
        </w:rPr>
      </w:pPr>
      <w:r>
        <w:rPr>
          <w:rFonts w:hint="eastAsia" w:ascii="仿宋" w:hAnsi="仿宋" w:eastAsia="仿宋"/>
          <w:bCs/>
          <w:sz w:val="24"/>
        </w:rPr>
        <w:t>（2）适应性：本规程围绕日光温室草莓固碳生产进行规程编制，因秋冬季种植较多，茬口明确，具有广泛的适应性。</w:t>
      </w:r>
    </w:p>
    <w:p>
      <w:pPr>
        <w:spacing w:line="360" w:lineRule="auto"/>
        <w:ind w:firstLine="480" w:firstLineChars="200"/>
        <w:rPr>
          <w:rFonts w:hint="eastAsia" w:ascii="仿宋" w:hAnsi="仿宋" w:eastAsia="仿宋"/>
          <w:bCs/>
          <w:sz w:val="24"/>
        </w:rPr>
      </w:pPr>
      <w:r>
        <w:rPr>
          <w:rFonts w:hint="eastAsia" w:ascii="仿宋" w:hAnsi="仿宋" w:eastAsia="仿宋"/>
          <w:bCs/>
          <w:sz w:val="24"/>
        </w:rPr>
        <w:t>（3）安全性：本规程在制定过程中，结合生产实践，进行了系统性和规范性的总结，并注重细节和可操作性，力求达到广大使用者看得见、用得上，安全可靠。</w:t>
      </w:r>
    </w:p>
    <w:p>
      <w:pPr>
        <w:spacing w:line="360" w:lineRule="auto"/>
        <w:ind w:firstLine="480" w:firstLineChars="200"/>
        <w:rPr>
          <w:rFonts w:hint="eastAsia" w:ascii="仿宋" w:hAnsi="仿宋" w:eastAsia="仿宋"/>
          <w:bCs/>
          <w:sz w:val="24"/>
        </w:rPr>
      </w:pPr>
      <w:r>
        <w:rPr>
          <w:rFonts w:hint="eastAsia" w:ascii="仿宋" w:hAnsi="仿宋" w:eastAsia="仿宋"/>
          <w:bCs/>
          <w:sz w:val="24"/>
        </w:rPr>
        <w:t>（4）先进性：本规程在制定和修订过程中，结合了项目团队先进的科研成果和试验示范效果，并充分调研和征集了最新的一些栽培措施和管理方法。</w:t>
      </w:r>
    </w:p>
    <w:p>
      <w:pPr>
        <w:spacing w:line="360" w:lineRule="auto"/>
        <w:ind w:firstLine="480" w:firstLineChars="200"/>
        <w:rPr>
          <w:rFonts w:hint="eastAsia" w:ascii="仿宋" w:hAnsi="仿宋" w:eastAsia="仿宋"/>
          <w:bCs/>
          <w:sz w:val="24"/>
        </w:rPr>
      </w:pPr>
      <w:r>
        <w:rPr>
          <w:rFonts w:hint="eastAsia" w:ascii="仿宋" w:hAnsi="仿宋" w:eastAsia="仿宋"/>
          <w:bCs/>
          <w:sz w:val="24"/>
        </w:rPr>
        <w:t>2</w:t>
      </w:r>
      <w:r>
        <w:rPr>
          <w:rFonts w:hint="eastAsia" w:ascii="仿宋" w:hAnsi="仿宋" w:eastAsia="仿宋"/>
          <w:bCs/>
          <w:sz w:val="24"/>
          <w:lang w:eastAsia="zh-CN"/>
        </w:rPr>
        <w:t>、</w:t>
      </w:r>
      <w:r>
        <w:rPr>
          <w:rFonts w:hint="eastAsia" w:ascii="仿宋" w:hAnsi="仿宋" w:eastAsia="仿宋"/>
          <w:bCs/>
          <w:sz w:val="24"/>
        </w:rPr>
        <w:t>与现行法律、法规、标准的关系</w:t>
      </w:r>
    </w:p>
    <w:p>
      <w:pPr>
        <w:spacing w:line="360" w:lineRule="auto"/>
        <w:ind w:firstLine="480" w:firstLineChars="200"/>
        <w:rPr>
          <w:rFonts w:hint="eastAsia" w:ascii="仿宋" w:hAnsi="仿宋" w:eastAsia="仿宋"/>
          <w:bCs/>
          <w:sz w:val="24"/>
        </w:rPr>
      </w:pPr>
      <w:r>
        <w:rPr>
          <w:rFonts w:hint="eastAsia" w:ascii="仿宋" w:hAnsi="仿宋" w:eastAsia="仿宋"/>
          <w:bCs/>
          <w:sz w:val="24"/>
        </w:rPr>
        <w:t>本标准是从山西省日光温室草莓固碳栽培的实际要求出发，参考相关国家或行业标准和规范，在现行法律法规的框架内起草，结合山西省当地实际情况进行制定，与现行法律、法规和强制性标准无相互矛盾和抵触的条款。</w:t>
      </w:r>
    </w:p>
    <w:p>
      <w:pPr>
        <w:spacing w:line="360" w:lineRule="auto"/>
        <w:ind w:firstLine="480" w:firstLineChars="200"/>
        <w:outlineLvl w:val="0"/>
        <w:rPr>
          <w:rFonts w:ascii="黑体" w:eastAsia="黑体"/>
          <w:sz w:val="24"/>
        </w:rPr>
      </w:pPr>
      <w:r>
        <w:rPr>
          <w:rFonts w:hint="eastAsia" w:ascii="黑体" w:eastAsia="黑体"/>
          <w:sz w:val="24"/>
        </w:rPr>
        <w:t>五</w:t>
      </w:r>
      <w:r>
        <w:rPr>
          <w:rFonts w:ascii="黑体" w:eastAsia="黑体"/>
          <w:sz w:val="24"/>
        </w:rPr>
        <w:t>、主要条款的说明，主要技术指标、参数、试验验证的分析、综合论述</w:t>
      </w:r>
    </w:p>
    <w:p>
      <w:pPr>
        <w:spacing w:line="360" w:lineRule="auto"/>
        <w:ind w:firstLine="480" w:firstLineChars="200"/>
        <w:rPr>
          <w:rFonts w:hint="eastAsia" w:ascii="仿宋" w:hAnsi="仿宋" w:eastAsia="仿宋"/>
          <w:bCs/>
          <w:sz w:val="24"/>
        </w:rPr>
      </w:pPr>
      <w:r>
        <w:rPr>
          <w:rFonts w:hint="eastAsia" w:ascii="仿宋" w:hAnsi="仿宋" w:eastAsia="仿宋"/>
          <w:bCs/>
          <w:sz w:val="24"/>
        </w:rPr>
        <w:t>标准起草组以“合法性、安全性、适应性、协调性和先进性”为修订原则，以文本结构更加合理、表述更加准确、技术指标更加科学为修订目标，从10个方面对文本进行了修订，其中：</w:t>
      </w:r>
    </w:p>
    <w:p>
      <w:pPr>
        <w:spacing w:line="360" w:lineRule="auto"/>
        <w:ind w:firstLine="480" w:firstLineChars="200"/>
        <w:rPr>
          <w:rFonts w:hint="eastAsia" w:ascii="仿宋" w:hAnsi="仿宋" w:eastAsia="仿宋"/>
          <w:bCs/>
          <w:sz w:val="24"/>
        </w:rPr>
      </w:pPr>
      <w:r>
        <w:rPr>
          <w:rFonts w:hint="eastAsia" w:ascii="仿宋" w:hAnsi="仿宋" w:eastAsia="仿宋"/>
          <w:bCs/>
          <w:sz w:val="24"/>
        </w:rPr>
        <w:t>1、涉及结构性调整的主要有2项：</w:t>
      </w:r>
    </w:p>
    <w:p>
      <w:pPr>
        <w:spacing w:line="360" w:lineRule="auto"/>
        <w:ind w:firstLine="480" w:firstLineChars="200"/>
        <w:rPr>
          <w:rFonts w:hint="eastAsia" w:ascii="仿宋" w:hAnsi="仿宋" w:eastAsia="仿宋"/>
          <w:bCs/>
          <w:sz w:val="24"/>
        </w:rPr>
      </w:pPr>
      <w:r>
        <w:rPr>
          <w:rFonts w:hint="eastAsia" w:ascii="仿宋" w:hAnsi="仿宋" w:eastAsia="仿宋"/>
          <w:bCs/>
          <w:sz w:val="24"/>
        </w:rPr>
        <w:t>（1）删除了高效固碳生产术语。修订原因：没有必要进行介绍。</w:t>
      </w:r>
    </w:p>
    <w:p>
      <w:pPr>
        <w:spacing w:line="360" w:lineRule="auto"/>
        <w:ind w:firstLine="480" w:firstLineChars="200"/>
        <w:rPr>
          <w:rFonts w:hint="eastAsia" w:ascii="仿宋" w:hAnsi="仿宋" w:eastAsia="仿宋"/>
          <w:bCs/>
          <w:sz w:val="24"/>
        </w:rPr>
      </w:pPr>
      <w:r>
        <w:rPr>
          <w:rFonts w:hint="eastAsia" w:ascii="仿宋" w:hAnsi="仿宋" w:eastAsia="仿宋"/>
          <w:bCs/>
          <w:sz w:val="24"/>
        </w:rPr>
        <w:t>（2）删除了温室结构与性能的详细指标描述。修订原因：只是引用了别人的标准，不做进一步的详述。</w:t>
      </w:r>
    </w:p>
    <w:p>
      <w:pPr>
        <w:spacing w:line="360" w:lineRule="auto"/>
        <w:ind w:firstLine="480" w:firstLineChars="200"/>
        <w:rPr>
          <w:rFonts w:hint="eastAsia" w:ascii="仿宋" w:hAnsi="仿宋" w:eastAsia="仿宋"/>
          <w:bCs/>
          <w:sz w:val="24"/>
        </w:rPr>
      </w:pPr>
      <w:r>
        <w:rPr>
          <w:rFonts w:hint="eastAsia" w:ascii="仿宋" w:hAnsi="仿宋" w:eastAsia="仿宋"/>
          <w:bCs/>
          <w:sz w:val="24"/>
        </w:rPr>
        <w:t>2、涉及表述与编辑性修改的主要有4项：</w:t>
      </w:r>
    </w:p>
    <w:p>
      <w:pPr>
        <w:spacing w:line="360" w:lineRule="auto"/>
        <w:ind w:firstLine="480" w:firstLineChars="200"/>
        <w:rPr>
          <w:rFonts w:hint="eastAsia" w:ascii="仿宋" w:hAnsi="仿宋" w:eastAsia="仿宋"/>
          <w:bCs/>
          <w:sz w:val="24"/>
        </w:rPr>
      </w:pPr>
      <w:r>
        <w:rPr>
          <w:rFonts w:hint="eastAsia" w:ascii="仿宋" w:hAnsi="仿宋" w:eastAsia="仿宋"/>
          <w:bCs/>
          <w:sz w:val="24"/>
        </w:rPr>
        <w:t>（1）更改了题目。修订原因：题目中一般不用形容词。</w:t>
      </w:r>
    </w:p>
    <w:p>
      <w:pPr>
        <w:spacing w:line="360" w:lineRule="auto"/>
        <w:ind w:firstLine="480" w:firstLineChars="200"/>
        <w:rPr>
          <w:rFonts w:hint="eastAsia" w:ascii="仿宋" w:hAnsi="仿宋" w:eastAsia="仿宋"/>
          <w:bCs/>
          <w:sz w:val="24"/>
        </w:rPr>
      </w:pPr>
      <w:r>
        <w:rPr>
          <w:rFonts w:hint="eastAsia" w:ascii="仿宋" w:hAnsi="仿宋" w:eastAsia="仿宋"/>
          <w:bCs/>
          <w:sz w:val="24"/>
        </w:rPr>
        <w:t>（2）增加了修订内容的介绍。修订原因：符合新格式的要求。</w:t>
      </w:r>
    </w:p>
    <w:p>
      <w:pPr>
        <w:spacing w:line="360" w:lineRule="auto"/>
        <w:ind w:firstLine="480" w:firstLineChars="200"/>
        <w:rPr>
          <w:rFonts w:hint="eastAsia" w:ascii="仿宋" w:hAnsi="仿宋" w:eastAsia="仿宋"/>
          <w:bCs/>
          <w:sz w:val="24"/>
        </w:rPr>
      </w:pPr>
      <w:r>
        <w:rPr>
          <w:rFonts w:hint="eastAsia" w:ascii="仿宋" w:hAnsi="仿宋" w:eastAsia="仿宋"/>
          <w:bCs/>
          <w:sz w:val="24"/>
        </w:rPr>
        <w:t>（3）增加了种苗的描述内容。修订原因：描述更为详尽，便于参考。</w:t>
      </w:r>
    </w:p>
    <w:p>
      <w:pPr>
        <w:spacing w:line="360" w:lineRule="auto"/>
        <w:ind w:firstLine="480" w:firstLineChars="200"/>
        <w:rPr>
          <w:rFonts w:hint="eastAsia" w:ascii="仿宋" w:hAnsi="仿宋" w:eastAsia="仿宋"/>
          <w:bCs/>
          <w:sz w:val="24"/>
        </w:rPr>
      </w:pPr>
      <w:r>
        <w:rPr>
          <w:rFonts w:hint="eastAsia" w:ascii="仿宋" w:hAnsi="仿宋" w:eastAsia="仿宋"/>
          <w:bCs/>
          <w:sz w:val="24"/>
        </w:rPr>
        <w:t>（4）增加了定植后的水分管理。修订原因：描述更为详尽，便于参考。</w:t>
      </w:r>
    </w:p>
    <w:p>
      <w:pPr>
        <w:spacing w:line="360" w:lineRule="auto"/>
        <w:ind w:firstLine="480" w:firstLineChars="200"/>
        <w:rPr>
          <w:rFonts w:hint="eastAsia" w:ascii="仿宋" w:hAnsi="仿宋" w:eastAsia="仿宋"/>
          <w:bCs/>
          <w:sz w:val="24"/>
        </w:rPr>
      </w:pPr>
      <w:r>
        <w:rPr>
          <w:rFonts w:hint="eastAsia" w:ascii="仿宋" w:hAnsi="仿宋" w:eastAsia="仿宋"/>
          <w:bCs/>
          <w:sz w:val="24"/>
        </w:rPr>
        <w:t>3、涉及到的技术指标主要有4项：</w:t>
      </w:r>
    </w:p>
    <w:p>
      <w:pPr>
        <w:spacing w:line="360" w:lineRule="auto"/>
        <w:ind w:firstLine="480" w:firstLineChars="200"/>
        <w:rPr>
          <w:rFonts w:hint="eastAsia" w:ascii="仿宋" w:hAnsi="仿宋" w:eastAsia="仿宋"/>
          <w:sz w:val="24"/>
        </w:rPr>
      </w:pPr>
      <w:r>
        <w:rPr>
          <w:rFonts w:hint="eastAsia" w:ascii="仿宋" w:hAnsi="仿宋" w:eastAsia="仿宋"/>
          <w:sz w:val="24"/>
        </w:rPr>
        <w:t>（1）</w:t>
      </w:r>
      <w:r>
        <w:rPr>
          <w:rFonts w:hint="eastAsia" w:ascii="仿宋" w:hAnsi="仿宋" w:eastAsia="仿宋"/>
          <w:bCs/>
          <w:sz w:val="24"/>
        </w:rPr>
        <w:t>增加了温度管理的具体指标。修订原因及试验验证分析：指标更为具体。</w:t>
      </w:r>
    </w:p>
    <w:p>
      <w:pPr>
        <w:spacing w:line="360" w:lineRule="auto"/>
        <w:ind w:firstLine="480" w:firstLineChars="200"/>
        <w:rPr>
          <w:rFonts w:hint="eastAsia" w:ascii="仿宋" w:hAnsi="仿宋" w:eastAsia="仿宋"/>
          <w:sz w:val="24"/>
        </w:rPr>
      </w:pPr>
      <w:r>
        <w:rPr>
          <w:rFonts w:hint="eastAsia" w:ascii="仿宋" w:hAnsi="仿宋" w:eastAsia="仿宋"/>
          <w:sz w:val="24"/>
        </w:rPr>
        <w:t>（2）</w:t>
      </w:r>
      <w:r>
        <w:rPr>
          <w:rFonts w:hint="eastAsia" w:ascii="仿宋" w:hAnsi="仿宋" w:eastAsia="仿宋"/>
          <w:bCs/>
          <w:sz w:val="24"/>
        </w:rPr>
        <w:t>增加并细化了施肥的具体方法。修订原因及试验验证分析：肥料的配比更为合理，方便种植者进行参考。</w:t>
      </w:r>
    </w:p>
    <w:p>
      <w:pPr>
        <w:spacing w:line="360" w:lineRule="auto"/>
        <w:ind w:firstLine="480" w:firstLineChars="200"/>
        <w:outlineLvl w:val="0"/>
        <w:rPr>
          <w:rFonts w:hint="eastAsia" w:ascii="仿宋" w:hAnsi="仿宋" w:eastAsia="仿宋"/>
          <w:bCs/>
          <w:sz w:val="24"/>
        </w:rPr>
      </w:pPr>
      <w:r>
        <w:rPr>
          <w:rFonts w:hint="eastAsia" w:ascii="仿宋" w:hAnsi="仿宋" w:eastAsia="仿宋"/>
          <w:sz w:val="24"/>
        </w:rPr>
        <w:t>（3）</w:t>
      </w:r>
      <w:r>
        <w:rPr>
          <w:rFonts w:hint="eastAsia" w:ascii="仿宋" w:hAnsi="仿宋" w:eastAsia="仿宋"/>
          <w:bCs/>
          <w:sz w:val="24"/>
        </w:rPr>
        <w:t>增加了疏花疏果的具体细则。修订原因及试验验证分析：进行更为详尽的描述。</w:t>
      </w:r>
    </w:p>
    <w:p>
      <w:pPr>
        <w:spacing w:line="360" w:lineRule="auto"/>
        <w:ind w:firstLine="480" w:firstLineChars="200"/>
        <w:outlineLvl w:val="0"/>
        <w:rPr>
          <w:rFonts w:hint="eastAsia" w:ascii="仿宋" w:hAnsi="仿宋" w:eastAsia="仿宋"/>
          <w:bCs/>
          <w:sz w:val="24"/>
        </w:rPr>
      </w:pPr>
      <w:r>
        <w:rPr>
          <w:rFonts w:hint="eastAsia" w:ascii="仿宋" w:hAnsi="仿宋" w:eastAsia="仿宋"/>
          <w:bCs/>
          <w:sz w:val="24"/>
        </w:rPr>
        <w:t>（4）降低了CO</w:t>
      </w:r>
      <w:r>
        <w:rPr>
          <w:rFonts w:hint="eastAsia" w:ascii="仿宋" w:hAnsi="仿宋" w:eastAsia="仿宋"/>
          <w:bCs/>
          <w:sz w:val="24"/>
          <w:vertAlign w:val="subscript"/>
        </w:rPr>
        <w:t>2</w:t>
      </w:r>
      <w:r>
        <w:rPr>
          <w:rFonts w:hint="eastAsia" w:ascii="仿宋" w:hAnsi="仿宋" w:eastAsia="仿宋"/>
          <w:bCs/>
          <w:sz w:val="24"/>
        </w:rPr>
        <w:t>的使用浓度。修订原因及试验验证分析：根据新的试验结果改正使用的浓度。</w:t>
      </w:r>
    </w:p>
    <w:p>
      <w:pPr>
        <w:spacing w:line="360" w:lineRule="auto"/>
        <w:ind w:firstLine="480" w:firstLineChars="200"/>
        <w:outlineLvl w:val="0"/>
        <w:rPr>
          <w:rFonts w:ascii="黑体" w:eastAsia="黑体"/>
          <w:sz w:val="24"/>
        </w:rPr>
      </w:pPr>
      <w:r>
        <w:rPr>
          <w:rFonts w:hint="eastAsia" w:ascii="黑体" w:eastAsia="黑体"/>
          <w:sz w:val="24"/>
        </w:rPr>
        <w:t>六</w:t>
      </w:r>
      <w:r>
        <w:rPr>
          <w:rFonts w:ascii="黑体" w:eastAsia="黑体"/>
          <w:sz w:val="24"/>
        </w:rPr>
        <w:t>、</w:t>
      </w:r>
      <w:r>
        <w:rPr>
          <w:rFonts w:hint="eastAsia" w:ascii="黑体" w:eastAsia="黑体"/>
          <w:sz w:val="24"/>
        </w:rPr>
        <w:t>重大</w:t>
      </w:r>
      <w:r>
        <w:rPr>
          <w:rFonts w:ascii="黑体" w:eastAsia="黑体"/>
          <w:sz w:val="24"/>
        </w:rPr>
        <w:t>意见分歧的处理依据和结果</w:t>
      </w:r>
    </w:p>
    <w:p>
      <w:pPr>
        <w:spacing w:line="360" w:lineRule="auto"/>
        <w:ind w:firstLine="480" w:firstLineChars="200"/>
        <w:outlineLvl w:val="0"/>
        <w:rPr>
          <w:rFonts w:hint="eastAsia" w:ascii="仿宋" w:hAnsi="仿宋" w:eastAsia="仿宋"/>
          <w:bCs/>
          <w:sz w:val="24"/>
        </w:rPr>
      </w:pPr>
      <w:r>
        <w:rPr>
          <w:rFonts w:hint="eastAsia" w:ascii="仿宋" w:hAnsi="仿宋" w:eastAsia="仿宋"/>
          <w:bCs/>
          <w:sz w:val="24"/>
        </w:rPr>
        <w:t>无重大意见分歧，在文本修订过程中征求山西省园艺产业发展中心、山西省乡村产业融合发展中心意见共4条，主要涉及文字表述和文本编辑性方面内容，全部采纳。</w:t>
      </w:r>
    </w:p>
    <w:p>
      <w:pPr>
        <w:spacing w:line="360" w:lineRule="auto"/>
        <w:ind w:firstLine="480" w:firstLineChars="200"/>
        <w:outlineLvl w:val="0"/>
        <w:rPr>
          <w:rFonts w:ascii="黑体" w:eastAsia="黑体"/>
          <w:sz w:val="24"/>
        </w:rPr>
      </w:pPr>
      <w:r>
        <w:rPr>
          <w:rFonts w:hint="eastAsia" w:ascii="黑体" w:eastAsia="黑体"/>
          <w:sz w:val="24"/>
        </w:rPr>
        <w:t>七</w:t>
      </w:r>
      <w:r>
        <w:rPr>
          <w:rFonts w:ascii="黑体" w:eastAsia="黑体"/>
          <w:sz w:val="24"/>
        </w:rPr>
        <w:t>、</w:t>
      </w:r>
      <w:r>
        <w:rPr>
          <w:rFonts w:hint="eastAsia" w:ascii="黑体" w:eastAsia="黑体"/>
          <w:sz w:val="24"/>
        </w:rPr>
        <w:t>采标</w:t>
      </w:r>
      <w:r>
        <w:rPr>
          <w:rFonts w:ascii="黑体" w:eastAsia="黑体"/>
          <w:sz w:val="24"/>
        </w:rPr>
        <w:t>情况，是否合规引用或采用国际标准和国外先进标准，以及与国内外同类标准水平的对比情况</w:t>
      </w:r>
    </w:p>
    <w:p>
      <w:pPr>
        <w:spacing w:line="360" w:lineRule="auto"/>
        <w:ind w:firstLine="480" w:firstLineChars="200"/>
        <w:outlineLvl w:val="0"/>
        <w:rPr>
          <w:rFonts w:hint="eastAsia" w:ascii="仿宋" w:hAnsi="仿宋" w:eastAsia="仿宋"/>
          <w:sz w:val="24"/>
        </w:rPr>
      </w:pPr>
      <w:r>
        <w:rPr>
          <w:rFonts w:hint="eastAsia" w:ascii="仿宋" w:hAnsi="仿宋" w:eastAsia="仿宋"/>
          <w:sz w:val="24"/>
        </w:rPr>
        <w:t>1、在标准修订过程中，合规引用了国内相关标准和行业标准，具有一定的先进性。</w:t>
      </w:r>
    </w:p>
    <w:p>
      <w:pPr>
        <w:spacing w:line="360" w:lineRule="auto"/>
        <w:ind w:firstLine="480" w:firstLineChars="200"/>
        <w:outlineLvl w:val="0"/>
        <w:rPr>
          <w:rFonts w:hint="eastAsia" w:ascii="仿宋" w:hAnsi="仿宋" w:eastAsia="仿宋"/>
          <w:sz w:val="24"/>
        </w:rPr>
      </w:pPr>
      <w:r>
        <w:rPr>
          <w:rFonts w:hint="eastAsia" w:ascii="仿宋" w:hAnsi="仿宋" w:eastAsia="仿宋"/>
          <w:sz w:val="24"/>
        </w:rPr>
        <w:t>2、本标准严格遵循国家标准、行业标准在草莓生产方面的相关规定。</w:t>
      </w:r>
    </w:p>
    <w:p>
      <w:pPr>
        <w:spacing w:line="360" w:lineRule="auto"/>
        <w:ind w:firstLine="480" w:firstLineChars="200"/>
        <w:outlineLvl w:val="0"/>
        <w:rPr>
          <w:rFonts w:hint="eastAsia" w:ascii="仿宋" w:hAnsi="仿宋" w:eastAsia="仿宋"/>
          <w:sz w:val="24"/>
        </w:rPr>
      </w:pPr>
      <w:r>
        <w:rPr>
          <w:rFonts w:hint="eastAsia" w:ascii="仿宋" w:hAnsi="仿宋" w:eastAsia="仿宋"/>
          <w:sz w:val="24"/>
        </w:rPr>
        <w:t>3、本标准详细制定了日光温室草莓生产涉及的品种选择和栽培措施，注重可操作性，简单易行。</w:t>
      </w:r>
    </w:p>
    <w:p>
      <w:pPr>
        <w:spacing w:line="360" w:lineRule="auto"/>
        <w:ind w:firstLine="480" w:firstLineChars="200"/>
        <w:outlineLvl w:val="0"/>
        <w:rPr>
          <w:rFonts w:ascii="黑体" w:eastAsia="黑体"/>
          <w:sz w:val="24"/>
        </w:rPr>
      </w:pPr>
      <w:r>
        <w:rPr>
          <w:rFonts w:hint="eastAsia" w:ascii="黑体" w:eastAsia="黑体"/>
          <w:sz w:val="24"/>
        </w:rPr>
        <w:t>八、</w:t>
      </w:r>
      <w:r>
        <w:rPr>
          <w:rFonts w:hint="eastAsia" w:ascii="黑体" w:hAnsi="黑体" w:eastAsia="黑体"/>
          <w:sz w:val="24"/>
        </w:rPr>
        <w:t>作为推荐性标准或者强制性标准的建议及其理由。</w:t>
      </w:r>
    </w:p>
    <w:p>
      <w:pPr>
        <w:spacing w:line="360" w:lineRule="auto"/>
        <w:ind w:firstLine="480" w:firstLineChars="200"/>
        <w:jc w:val="left"/>
        <w:rPr>
          <w:rFonts w:hint="eastAsia" w:ascii="仿宋" w:hAnsi="仿宋" w:eastAsia="仿宋"/>
          <w:sz w:val="24"/>
        </w:rPr>
      </w:pPr>
      <w:r>
        <w:rPr>
          <w:rFonts w:ascii="仿宋" w:hAnsi="仿宋" w:eastAsia="仿宋"/>
          <w:sz w:val="24"/>
        </w:rPr>
        <w:t>建议本标准为推荐性</w:t>
      </w:r>
      <w:r>
        <w:rPr>
          <w:rFonts w:hint="eastAsia" w:ascii="仿宋" w:hAnsi="仿宋" w:eastAsia="仿宋"/>
          <w:sz w:val="24"/>
        </w:rPr>
        <w:t>山西省地方标准发布实施。我国草莓生产水平参差不齐，栽培技术逐步提高，品种也时有更新，因此需要进一步规范和推广示范。</w:t>
      </w:r>
    </w:p>
    <w:p>
      <w:pPr>
        <w:spacing w:line="360" w:lineRule="auto"/>
        <w:ind w:firstLine="480" w:firstLineChars="200"/>
        <w:outlineLvl w:val="0"/>
        <w:rPr>
          <w:rFonts w:ascii="黑体" w:eastAsia="黑体"/>
          <w:sz w:val="24"/>
        </w:rPr>
      </w:pPr>
      <w:r>
        <w:rPr>
          <w:rFonts w:hint="eastAsia" w:ascii="黑体" w:eastAsia="黑体"/>
          <w:sz w:val="24"/>
        </w:rPr>
        <w:t>九</w:t>
      </w:r>
      <w:r>
        <w:rPr>
          <w:rFonts w:ascii="黑体" w:eastAsia="黑体"/>
          <w:sz w:val="24"/>
        </w:rPr>
        <w:t>、</w:t>
      </w:r>
      <w:r>
        <w:rPr>
          <w:rFonts w:hint="eastAsia" w:ascii="黑体" w:eastAsia="黑体"/>
          <w:sz w:val="24"/>
        </w:rPr>
        <w:t>实施</w:t>
      </w:r>
      <w:r>
        <w:rPr>
          <w:rFonts w:ascii="黑体" w:eastAsia="黑体"/>
          <w:sz w:val="24"/>
        </w:rPr>
        <w:t>标准的措施建议</w:t>
      </w:r>
    </w:p>
    <w:p>
      <w:pPr>
        <w:spacing w:line="360" w:lineRule="auto"/>
        <w:ind w:firstLine="480" w:firstLineChars="200"/>
        <w:jc w:val="left"/>
        <w:rPr>
          <w:rFonts w:hint="eastAsia" w:ascii="仿宋" w:hAnsi="仿宋" w:eastAsia="仿宋"/>
          <w:sz w:val="24"/>
        </w:rPr>
      </w:pPr>
      <w:r>
        <w:rPr>
          <w:rFonts w:hint="eastAsia" w:ascii="仿宋" w:hAnsi="仿宋" w:eastAsia="仿宋"/>
          <w:sz w:val="24"/>
        </w:rPr>
        <w:t>1、加大宣传力度。把标准的实施作为提升山西省草莓生产技术水平的重要手段，通过各种宣传渠道进行专题介绍和宣传，将该技术标准普及到基层生产企业和农民手中。</w:t>
      </w:r>
    </w:p>
    <w:p>
      <w:pPr>
        <w:spacing w:line="360" w:lineRule="auto"/>
        <w:ind w:firstLine="480" w:firstLineChars="200"/>
        <w:jc w:val="left"/>
        <w:rPr>
          <w:rFonts w:hint="eastAsia" w:ascii="仿宋" w:hAnsi="仿宋" w:eastAsia="仿宋"/>
          <w:sz w:val="24"/>
        </w:rPr>
      </w:pPr>
      <w:r>
        <w:rPr>
          <w:rFonts w:hint="eastAsia" w:ascii="仿宋" w:hAnsi="仿宋" w:eastAsia="仿宋"/>
          <w:sz w:val="24"/>
        </w:rPr>
        <w:t>2、加强技术培训。在各个示范点和基层下乡时进行标准化技术人员的培训及现场指导，做好技术示范，深入指导，确保技术进村入户。</w:t>
      </w:r>
    </w:p>
    <w:p>
      <w:pPr>
        <w:spacing w:line="360" w:lineRule="auto"/>
        <w:ind w:firstLine="480" w:firstLineChars="200"/>
        <w:jc w:val="left"/>
        <w:rPr>
          <w:rFonts w:hint="eastAsia" w:ascii="仿宋" w:hAnsi="仿宋" w:eastAsia="仿宋"/>
          <w:sz w:val="24"/>
        </w:rPr>
        <w:sectPr>
          <w:footerReference r:id="rId3" w:type="default"/>
          <w:pgSz w:w="11906" w:h="16838"/>
          <w:pgMar w:top="1440" w:right="1803" w:bottom="1440" w:left="1803" w:header="851" w:footer="992" w:gutter="0"/>
          <w:pgNumType w:start="1"/>
          <w:cols w:space="0" w:num="1"/>
          <w:titlePg/>
          <w:docGrid w:type="lines" w:linePitch="319" w:charSpace="0"/>
        </w:sectPr>
      </w:pPr>
      <w:r>
        <w:rPr>
          <w:rFonts w:hint="eastAsia" w:ascii="仿宋" w:hAnsi="仿宋" w:eastAsia="仿宋"/>
          <w:sz w:val="24"/>
        </w:rPr>
        <w:t>3、进行标准化示范。通过在山西省境内主要蔬菜园区和合作社建立该标准示范点，树立样板，奖励典型，以点带面，推进本标准的广泛实施。</w:t>
      </w:r>
    </w:p>
    <w:p>
      <w:pPr>
        <w:spacing w:line="360" w:lineRule="auto"/>
        <w:ind w:firstLine="480" w:firstLineChars="200"/>
        <w:jc w:val="left"/>
        <w:rPr>
          <w:rFonts w:hint="eastAsia" w:ascii="仿宋" w:hAnsi="仿宋" w:eastAsia="仿宋"/>
          <w:sz w:val="24"/>
        </w:rPr>
      </w:pPr>
      <w:r>
        <w:rPr>
          <w:rFonts w:hint="eastAsia" w:ascii="仿宋" w:hAnsi="仿宋" w:eastAsia="仿宋"/>
          <w:sz w:val="24"/>
        </w:rPr>
        <w:t>附表</w:t>
      </w:r>
    </w:p>
    <w:p>
      <w:pPr>
        <w:jc w:val="center"/>
        <w:rPr>
          <w:rFonts w:hint="eastAsia" w:ascii="仿宋" w:hAnsi="仿宋" w:eastAsia="仿宋"/>
          <w:sz w:val="24"/>
        </w:rPr>
      </w:pPr>
      <w:r>
        <w:rPr>
          <w:rFonts w:hint="eastAsia" w:ascii="仿宋" w:hAnsi="仿宋" w:eastAsia="仿宋"/>
          <w:sz w:val="24"/>
        </w:rPr>
        <w:t>《日光温室草莓固碳生产技术规程》</w:t>
      </w:r>
    </w:p>
    <w:p>
      <w:pPr>
        <w:jc w:val="center"/>
        <w:rPr>
          <w:rFonts w:hint="eastAsia" w:ascii="仿宋" w:hAnsi="仿宋" w:eastAsia="仿宋"/>
          <w:sz w:val="24"/>
        </w:rPr>
      </w:pPr>
      <w:r>
        <w:rPr>
          <w:rFonts w:hint="eastAsia" w:ascii="仿宋" w:hAnsi="仿宋" w:eastAsia="仿宋"/>
          <w:sz w:val="24"/>
        </w:rPr>
        <w:t>地方标准征求意见汇总处理表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686"/>
        <w:gridCol w:w="4534"/>
        <w:gridCol w:w="1526"/>
        <w:gridCol w:w="1170"/>
        <w:gridCol w:w="2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1043" w:type="dxa"/>
            <w:vAlign w:val="center"/>
          </w:tcPr>
          <w:p>
            <w:pPr>
              <w:adjustRightInd w:val="0"/>
              <w:snapToGrid w:val="0"/>
              <w:jc w:val="center"/>
              <w:rPr>
                <w:b/>
                <w:szCs w:val="21"/>
              </w:rPr>
            </w:pPr>
            <w:r>
              <w:rPr>
                <w:b/>
                <w:szCs w:val="21"/>
              </w:rPr>
              <w:t>序号</w:t>
            </w:r>
          </w:p>
        </w:tc>
        <w:tc>
          <w:tcPr>
            <w:tcW w:w="1686" w:type="dxa"/>
            <w:vAlign w:val="center"/>
          </w:tcPr>
          <w:p>
            <w:pPr>
              <w:adjustRightInd w:val="0"/>
              <w:snapToGrid w:val="0"/>
              <w:jc w:val="center"/>
              <w:rPr>
                <w:b/>
                <w:szCs w:val="21"/>
              </w:rPr>
            </w:pPr>
            <w:r>
              <w:rPr>
                <w:rFonts w:hint="eastAsia"/>
                <w:b/>
                <w:szCs w:val="21"/>
              </w:rPr>
              <w:t>标准</w:t>
            </w:r>
            <w:r>
              <w:rPr>
                <w:b/>
                <w:szCs w:val="21"/>
              </w:rPr>
              <w:t>章条编号</w:t>
            </w:r>
          </w:p>
        </w:tc>
        <w:tc>
          <w:tcPr>
            <w:tcW w:w="4534" w:type="dxa"/>
            <w:vAlign w:val="center"/>
          </w:tcPr>
          <w:p>
            <w:pPr>
              <w:adjustRightInd w:val="0"/>
              <w:snapToGrid w:val="0"/>
              <w:jc w:val="center"/>
              <w:rPr>
                <w:b/>
                <w:szCs w:val="21"/>
              </w:rPr>
            </w:pPr>
            <w:r>
              <w:rPr>
                <w:b/>
                <w:szCs w:val="21"/>
              </w:rPr>
              <w:t>意见内容</w:t>
            </w:r>
          </w:p>
        </w:tc>
        <w:tc>
          <w:tcPr>
            <w:tcW w:w="1526" w:type="dxa"/>
            <w:vAlign w:val="center"/>
          </w:tcPr>
          <w:p>
            <w:pPr>
              <w:adjustRightInd w:val="0"/>
              <w:snapToGrid w:val="0"/>
              <w:jc w:val="center"/>
              <w:rPr>
                <w:b/>
                <w:szCs w:val="21"/>
              </w:rPr>
            </w:pPr>
            <w:r>
              <w:rPr>
                <w:b/>
                <w:szCs w:val="21"/>
              </w:rPr>
              <w:t>提出单位</w:t>
            </w:r>
          </w:p>
        </w:tc>
        <w:tc>
          <w:tcPr>
            <w:tcW w:w="1170" w:type="dxa"/>
            <w:vAlign w:val="center"/>
          </w:tcPr>
          <w:p>
            <w:pPr>
              <w:adjustRightInd w:val="0"/>
              <w:snapToGrid w:val="0"/>
              <w:jc w:val="center"/>
              <w:rPr>
                <w:b/>
                <w:szCs w:val="21"/>
              </w:rPr>
            </w:pPr>
            <w:r>
              <w:rPr>
                <w:b/>
                <w:szCs w:val="21"/>
              </w:rPr>
              <w:t>处理意见</w:t>
            </w:r>
          </w:p>
        </w:tc>
        <w:tc>
          <w:tcPr>
            <w:tcW w:w="2743" w:type="dxa"/>
            <w:vAlign w:val="center"/>
          </w:tcPr>
          <w:p>
            <w:pPr>
              <w:adjustRightInd w:val="0"/>
              <w:snapToGrid w:val="0"/>
              <w:jc w:val="center"/>
              <w:rPr>
                <w:b/>
                <w:szCs w:val="21"/>
              </w:rPr>
            </w:pPr>
            <w:r>
              <w:rPr>
                <w:rFonts w:hint="eastAsia"/>
                <w:b/>
                <w:szCs w:val="21"/>
              </w:rPr>
              <w:t>意见处理说明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exact"/>
          <w:jc w:val="center"/>
        </w:trPr>
        <w:tc>
          <w:tcPr>
            <w:tcW w:w="1043" w:type="dxa"/>
            <w:vAlign w:val="center"/>
          </w:tcPr>
          <w:p>
            <w:pPr>
              <w:adjustRightInd w:val="0"/>
              <w:snapToGrid w:val="0"/>
              <w:jc w:val="center"/>
              <w:rPr>
                <w:bCs/>
                <w:sz w:val="18"/>
                <w:szCs w:val="18"/>
              </w:rPr>
            </w:pPr>
            <w:r>
              <w:rPr>
                <w:rFonts w:ascii="等线" w:hAnsi="等线"/>
                <w:sz w:val="18"/>
                <w:szCs w:val="18"/>
              </w:rPr>
              <w:t>1</w:t>
            </w:r>
          </w:p>
        </w:tc>
        <w:tc>
          <w:tcPr>
            <w:tcW w:w="1686" w:type="dxa"/>
            <w:vAlign w:val="center"/>
          </w:tcPr>
          <w:p>
            <w:pPr>
              <w:spacing w:line="300" w:lineRule="exact"/>
              <w:ind w:left="-107" w:leftChars="-51" w:firstLine="68" w:firstLineChars="38"/>
              <w:jc w:val="center"/>
              <w:rPr>
                <w:bCs/>
                <w:sz w:val="18"/>
                <w:szCs w:val="18"/>
              </w:rPr>
            </w:pPr>
            <w:r>
              <w:rPr>
                <w:rFonts w:hint="eastAsia"/>
                <w:bCs/>
                <w:sz w:val="18"/>
                <w:szCs w:val="18"/>
              </w:rPr>
              <w:t>2规范性引用文件</w:t>
            </w:r>
          </w:p>
        </w:tc>
        <w:tc>
          <w:tcPr>
            <w:tcW w:w="4534" w:type="dxa"/>
            <w:vAlign w:val="center"/>
          </w:tcPr>
          <w:p>
            <w:pPr>
              <w:spacing w:line="300" w:lineRule="exact"/>
              <w:ind w:left="-107" w:leftChars="-51" w:firstLine="68" w:firstLineChars="38"/>
              <w:jc w:val="center"/>
              <w:rPr>
                <w:bCs/>
                <w:sz w:val="18"/>
                <w:szCs w:val="18"/>
              </w:rPr>
            </w:pPr>
            <w:r>
              <w:rPr>
                <w:rFonts w:hint="eastAsia"/>
                <w:bCs/>
                <w:sz w:val="18"/>
                <w:szCs w:val="18"/>
              </w:rPr>
              <w:t>建议将原来的标准换为新修订后的标准DB14/T 1287  设施蔬菜固碳生产技术规程  日光温室结构与性能</w:t>
            </w:r>
          </w:p>
          <w:p>
            <w:pPr>
              <w:spacing w:line="300" w:lineRule="exact"/>
              <w:ind w:left="-107" w:leftChars="-51" w:firstLine="68" w:firstLineChars="38"/>
              <w:jc w:val="center"/>
              <w:rPr>
                <w:bCs/>
                <w:sz w:val="18"/>
                <w:szCs w:val="18"/>
              </w:rPr>
            </w:pPr>
            <w:r>
              <w:rPr>
                <w:rFonts w:hint="eastAsia"/>
                <w:bCs/>
                <w:sz w:val="18"/>
                <w:szCs w:val="18"/>
              </w:rPr>
              <w:t>DB14/T 1288  设施蔬菜二氧化碳施肥技术规程。</w:t>
            </w:r>
          </w:p>
        </w:tc>
        <w:tc>
          <w:tcPr>
            <w:tcW w:w="1526" w:type="dxa"/>
            <w:vAlign w:val="center"/>
          </w:tcPr>
          <w:p>
            <w:pPr>
              <w:spacing w:line="300" w:lineRule="exact"/>
              <w:ind w:left="-107" w:leftChars="-51" w:firstLine="68" w:firstLineChars="38"/>
              <w:jc w:val="center"/>
              <w:rPr>
                <w:bCs/>
                <w:sz w:val="18"/>
                <w:szCs w:val="18"/>
              </w:rPr>
            </w:pPr>
            <w:r>
              <w:rPr>
                <w:rFonts w:hint="eastAsia"/>
                <w:bCs/>
                <w:sz w:val="18"/>
                <w:szCs w:val="18"/>
              </w:rPr>
              <w:t>山西省园艺产业发展中心</w:t>
            </w:r>
          </w:p>
        </w:tc>
        <w:tc>
          <w:tcPr>
            <w:tcW w:w="1170" w:type="dxa"/>
            <w:vAlign w:val="center"/>
          </w:tcPr>
          <w:p>
            <w:pPr>
              <w:spacing w:line="300" w:lineRule="exact"/>
              <w:ind w:left="-107" w:leftChars="-51" w:firstLine="68" w:firstLineChars="38"/>
              <w:jc w:val="center"/>
              <w:rPr>
                <w:bCs/>
                <w:sz w:val="18"/>
                <w:szCs w:val="18"/>
              </w:rPr>
            </w:pPr>
            <w:r>
              <w:rPr>
                <w:rFonts w:hint="eastAsia"/>
                <w:bCs/>
                <w:sz w:val="18"/>
                <w:szCs w:val="18"/>
              </w:rPr>
              <w:t>采纳</w:t>
            </w:r>
          </w:p>
        </w:tc>
        <w:tc>
          <w:tcPr>
            <w:tcW w:w="2743" w:type="dxa"/>
            <w:vAlign w:val="center"/>
          </w:tcPr>
          <w:p>
            <w:pPr>
              <w:spacing w:line="300" w:lineRule="exact"/>
              <w:ind w:left="-107" w:leftChars="-51" w:firstLine="68" w:firstLineChars="38"/>
              <w:jc w:val="center"/>
              <w:rPr>
                <w:bCs/>
                <w:sz w:val="18"/>
                <w:szCs w:val="18"/>
              </w:rPr>
            </w:pPr>
            <w:r>
              <w:rPr>
                <w:rFonts w:hint="eastAsia"/>
                <w:bCs/>
                <w:sz w:val="18"/>
                <w:szCs w:val="18"/>
              </w:rPr>
              <w:t>按照意见进行了修改。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043" w:type="dxa"/>
            <w:vAlign w:val="center"/>
          </w:tcPr>
          <w:p>
            <w:pPr>
              <w:adjustRightInd w:val="0"/>
              <w:snapToGrid w:val="0"/>
              <w:jc w:val="center"/>
              <w:rPr>
                <w:rFonts w:hint="eastAsia" w:ascii="等线" w:hAnsi="等线"/>
                <w:sz w:val="18"/>
                <w:szCs w:val="18"/>
              </w:rPr>
            </w:pPr>
            <w:r>
              <w:rPr>
                <w:rFonts w:hint="eastAsia" w:ascii="等线" w:hAnsi="等线"/>
                <w:sz w:val="18"/>
                <w:szCs w:val="18"/>
              </w:rPr>
              <w:t>2</w:t>
            </w:r>
          </w:p>
        </w:tc>
        <w:tc>
          <w:tcPr>
            <w:tcW w:w="1686" w:type="dxa"/>
            <w:vAlign w:val="center"/>
          </w:tcPr>
          <w:p>
            <w:pPr>
              <w:spacing w:line="300" w:lineRule="exact"/>
              <w:ind w:left="-107" w:leftChars="-51" w:firstLine="68" w:firstLineChars="38"/>
              <w:jc w:val="center"/>
              <w:rPr>
                <w:bCs/>
                <w:sz w:val="18"/>
                <w:szCs w:val="18"/>
              </w:rPr>
            </w:pPr>
            <w:r>
              <w:rPr>
                <w:rFonts w:hint="eastAsia"/>
                <w:bCs/>
                <w:sz w:val="18"/>
                <w:szCs w:val="18"/>
              </w:rPr>
              <w:t>3 术语和定义</w:t>
            </w:r>
          </w:p>
        </w:tc>
        <w:tc>
          <w:tcPr>
            <w:tcW w:w="4534" w:type="dxa"/>
            <w:vAlign w:val="center"/>
          </w:tcPr>
          <w:p>
            <w:pPr>
              <w:spacing w:line="300" w:lineRule="exact"/>
              <w:ind w:left="-107" w:leftChars="-51" w:firstLine="68" w:firstLineChars="38"/>
              <w:jc w:val="center"/>
              <w:rPr>
                <w:bCs/>
                <w:sz w:val="18"/>
                <w:szCs w:val="18"/>
              </w:rPr>
            </w:pPr>
            <w:r>
              <w:rPr>
                <w:rFonts w:hint="eastAsia"/>
                <w:bCs/>
                <w:sz w:val="18"/>
                <w:szCs w:val="18"/>
              </w:rPr>
              <w:t>建议删除高效固碳生产术语</w:t>
            </w:r>
          </w:p>
        </w:tc>
        <w:tc>
          <w:tcPr>
            <w:tcW w:w="1526" w:type="dxa"/>
            <w:vAlign w:val="center"/>
          </w:tcPr>
          <w:p>
            <w:pPr>
              <w:spacing w:line="300" w:lineRule="exact"/>
              <w:ind w:left="-107" w:leftChars="-51" w:firstLine="68" w:firstLineChars="38"/>
              <w:jc w:val="center"/>
              <w:rPr>
                <w:bCs/>
                <w:sz w:val="18"/>
                <w:szCs w:val="18"/>
              </w:rPr>
            </w:pPr>
            <w:r>
              <w:rPr>
                <w:rFonts w:hint="eastAsia"/>
                <w:bCs/>
                <w:sz w:val="18"/>
                <w:szCs w:val="18"/>
              </w:rPr>
              <w:t>山西省园艺产业发展中心</w:t>
            </w:r>
          </w:p>
        </w:tc>
        <w:tc>
          <w:tcPr>
            <w:tcW w:w="1170" w:type="dxa"/>
            <w:vAlign w:val="center"/>
          </w:tcPr>
          <w:p>
            <w:pPr>
              <w:spacing w:line="300" w:lineRule="exact"/>
              <w:ind w:left="-107" w:leftChars="-51" w:firstLine="68" w:firstLineChars="38"/>
              <w:jc w:val="center"/>
              <w:rPr>
                <w:bCs/>
                <w:sz w:val="18"/>
                <w:szCs w:val="18"/>
              </w:rPr>
            </w:pPr>
            <w:r>
              <w:rPr>
                <w:rFonts w:hint="eastAsia"/>
                <w:bCs/>
                <w:sz w:val="18"/>
                <w:szCs w:val="18"/>
              </w:rPr>
              <w:t>采纳</w:t>
            </w:r>
          </w:p>
        </w:tc>
        <w:tc>
          <w:tcPr>
            <w:tcW w:w="2743" w:type="dxa"/>
            <w:vAlign w:val="center"/>
          </w:tcPr>
          <w:p>
            <w:pPr>
              <w:spacing w:line="300" w:lineRule="exact"/>
              <w:ind w:left="-107" w:leftChars="-51" w:firstLine="68" w:firstLineChars="38"/>
              <w:jc w:val="center"/>
              <w:rPr>
                <w:bCs/>
                <w:sz w:val="18"/>
                <w:szCs w:val="18"/>
              </w:rPr>
            </w:pPr>
            <w:r>
              <w:rPr>
                <w:rFonts w:hint="eastAsia"/>
                <w:bCs/>
                <w:sz w:val="18"/>
                <w:szCs w:val="18"/>
              </w:rPr>
              <w:t>按照意见进行了删除。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043" w:type="dxa"/>
            <w:vAlign w:val="center"/>
          </w:tcPr>
          <w:p>
            <w:pPr>
              <w:spacing w:line="300" w:lineRule="exact"/>
              <w:ind w:left="-107" w:leftChars="-51" w:firstLine="68" w:firstLineChars="38"/>
              <w:jc w:val="center"/>
              <w:rPr>
                <w:bCs/>
                <w:sz w:val="18"/>
                <w:szCs w:val="18"/>
              </w:rPr>
            </w:pPr>
            <w:r>
              <w:rPr>
                <w:rFonts w:hint="eastAsia"/>
                <w:bCs/>
                <w:sz w:val="18"/>
                <w:szCs w:val="18"/>
              </w:rPr>
              <w:t>3</w:t>
            </w:r>
          </w:p>
        </w:tc>
        <w:tc>
          <w:tcPr>
            <w:tcW w:w="1686" w:type="dxa"/>
            <w:vAlign w:val="center"/>
          </w:tcPr>
          <w:p>
            <w:pPr>
              <w:spacing w:line="300" w:lineRule="exact"/>
              <w:ind w:left="-107" w:leftChars="-51" w:firstLine="68" w:firstLineChars="38"/>
              <w:jc w:val="center"/>
              <w:rPr>
                <w:bCs/>
                <w:sz w:val="18"/>
                <w:szCs w:val="18"/>
              </w:rPr>
            </w:pPr>
            <w:r>
              <w:rPr>
                <w:rFonts w:hint="eastAsia"/>
                <w:bCs/>
                <w:sz w:val="18"/>
                <w:szCs w:val="18"/>
              </w:rPr>
              <w:t>8 田间管理</w:t>
            </w:r>
          </w:p>
        </w:tc>
        <w:tc>
          <w:tcPr>
            <w:tcW w:w="4534" w:type="dxa"/>
            <w:vAlign w:val="center"/>
          </w:tcPr>
          <w:p>
            <w:pPr>
              <w:spacing w:line="300" w:lineRule="exact"/>
              <w:ind w:left="-107" w:leftChars="-51" w:firstLine="68" w:firstLineChars="38"/>
              <w:jc w:val="center"/>
              <w:rPr>
                <w:bCs/>
                <w:sz w:val="18"/>
                <w:szCs w:val="18"/>
              </w:rPr>
            </w:pPr>
            <w:r>
              <w:rPr>
                <w:rFonts w:hint="eastAsia"/>
                <w:bCs/>
                <w:sz w:val="18"/>
                <w:szCs w:val="18"/>
              </w:rPr>
              <w:t>建议将施肥方法和类型具体化。</w:t>
            </w:r>
          </w:p>
        </w:tc>
        <w:tc>
          <w:tcPr>
            <w:tcW w:w="1526" w:type="dxa"/>
            <w:vAlign w:val="center"/>
          </w:tcPr>
          <w:p>
            <w:pPr>
              <w:spacing w:line="300" w:lineRule="exact"/>
              <w:ind w:left="-107" w:leftChars="-51" w:firstLine="68" w:firstLineChars="38"/>
              <w:jc w:val="center"/>
              <w:rPr>
                <w:bCs/>
                <w:sz w:val="18"/>
                <w:szCs w:val="18"/>
              </w:rPr>
            </w:pPr>
            <w:r>
              <w:rPr>
                <w:rFonts w:hint="eastAsia"/>
                <w:bCs/>
                <w:sz w:val="18"/>
                <w:szCs w:val="18"/>
              </w:rPr>
              <w:t>山西农业大学</w:t>
            </w:r>
          </w:p>
        </w:tc>
        <w:tc>
          <w:tcPr>
            <w:tcW w:w="1170" w:type="dxa"/>
            <w:vAlign w:val="center"/>
          </w:tcPr>
          <w:p>
            <w:pPr>
              <w:spacing w:line="300" w:lineRule="exact"/>
              <w:ind w:left="-107" w:leftChars="-51" w:firstLine="68" w:firstLineChars="38"/>
              <w:jc w:val="center"/>
              <w:rPr>
                <w:bCs/>
                <w:sz w:val="18"/>
                <w:szCs w:val="18"/>
              </w:rPr>
            </w:pPr>
            <w:r>
              <w:rPr>
                <w:rFonts w:hint="eastAsia"/>
                <w:bCs/>
                <w:sz w:val="18"/>
                <w:szCs w:val="18"/>
              </w:rPr>
              <w:t>采纳</w:t>
            </w:r>
          </w:p>
        </w:tc>
        <w:tc>
          <w:tcPr>
            <w:tcW w:w="2743" w:type="dxa"/>
            <w:vAlign w:val="center"/>
          </w:tcPr>
          <w:p>
            <w:pPr>
              <w:spacing w:line="300" w:lineRule="exact"/>
              <w:ind w:left="-107" w:leftChars="-51" w:firstLine="68" w:firstLineChars="38"/>
              <w:jc w:val="center"/>
              <w:rPr>
                <w:bCs/>
                <w:sz w:val="18"/>
                <w:szCs w:val="18"/>
              </w:rPr>
            </w:pPr>
            <w:r>
              <w:rPr>
                <w:rFonts w:hint="eastAsia"/>
                <w:bCs/>
                <w:sz w:val="18"/>
                <w:szCs w:val="18"/>
              </w:rPr>
              <w:t>已细化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1043" w:type="dxa"/>
            <w:vAlign w:val="center"/>
          </w:tcPr>
          <w:p>
            <w:pPr>
              <w:spacing w:line="300" w:lineRule="exact"/>
              <w:ind w:left="-107" w:leftChars="-51" w:firstLine="68" w:firstLineChars="38"/>
              <w:jc w:val="center"/>
              <w:rPr>
                <w:bCs/>
                <w:sz w:val="18"/>
                <w:szCs w:val="18"/>
              </w:rPr>
            </w:pPr>
            <w:r>
              <w:rPr>
                <w:rFonts w:hint="eastAsia"/>
                <w:bCs/>
                <w:sz w:val="18"/>
                <w:szCs w:val="18"/>
              </w:rPr>
              <w:t>4</w:t>
            </w:r>
          </w:p>
        </w:tc>
        <w:tc>
          <w:tcPr>
            <w:tcW w:w="1686" w:type="dxa"/>
            <w:vAlign w:val="center"/>
          </w:tcPr>
          <w:p>
            <w:pPr>
              <w:spacing w:line="300" w:lineRule="exact"/>
              <w:ind w:left="-107" w:leftChars="-51" w:firstLine="68" w:firstLineChars="38"/>
              <w:jc w:val="center"/>
              <w:rPr>
                <w:bCs/>
                <w:sz w:val="18"/>
                <w:szCs w:val="18"/>
              </w:rPr>
            </w:pPr>
            <w:r>
              <w:rPr>
                <w:rFonts w:hint="eastAsia"/>
                <w:bCs/>
                <w:sz w:val="18"/>
                <w:szCs w:val="18"/>
              </w:rPr>
              <w:t>9 二氧化碳施肥</w:t>
            </w:r>
          </w:p>
        </w:tc>
        <w:tc>
          <w:tcPr>
            <w:tcW w:w="4534" w:type="dxa"/>
            <w:vAlign w:val="center"/>
          </w:tcPr>
          <w:p>
            <w:pPr>
              <w:spacing w:line="300" w:lineRule="exact"/>
              <w:ind w:left="-107" w:leftChars="-51" w:firstLine="68" w:firstLineChars="38"/>
              <w:jc w:val="center"/>
              <w:rPr>
                <w:bCs/>
                <w:sz w:val="18"/>
                <w:szCs w:val="18"/>
              </w:rPr>
            </w:pPr>
            <w:r>
              <w:rPr>
                <w:rFonts w:hint="eastAsia"/>
                <w:bCs/>
                <w:sz w:val="18"/>
                <w:szCs w:val="18"/>
              </w:rPr>
              <w:t>建议重新设定CO</w:t>
            </w:r>
            <w:r>
              <w:rPr>
                <w:bCs/>
                <w:sz w:val="18"/>
                <w:szCs w:val="18"/>
                <w:vertAlign w:val="subscript"/>
              </w:rPr>
              <w:t>2</w:t>
            </w:r>
            <w:r>
              <w:rPr>
                <w:rFonts w:hint="eastAsia"/>
                <w:bCs/>
                <w:sz w:val="18"/>
                <w:szCs w:val="18"/>
              </w:rPr>
              <w:t>的施肥浓度</w:t>
            </w:r>
          </w:p>
        </w:tc>
        <w:tc>
          <w:tcPr>
            <w:tcW w:w="1526" w:type="dxa"/>
            <w:vAlign w:val="center"/>
          </w:tcPr>
          <w:p>
            <w:pPr>
              <w:spacing w:line="300" w:lineRule="exact"/>
              <w:ind w:left="-107" w:leftChars="-51" w:firstLine="68" w:firstLineChars="38"/>
              <w:jc w:val="center"/>
              <w:rPr>
                <w:bCs/>
                <w:sz w:val="18"/>
                <w:szCs w:val="18"/>
              </w:rPr>
            </w:pPr>
            <w:r>
              <w:rPr>
                <w:rFonts w:hint="eastAsia"/>
                <w:bCs/>
                <w:sz w:val="18"/>
                <w:szCs w:val="18"/>
              </w:rPr>
              <w:t>山西农业大学</w:t>
            </w:r>
          </w:p>
        </w:tc>
        <w:tc>
          <w:tcPr>
            <w:tcW w:w="1170" w:type="dxa"/>
            <w:vAlign w:val="center"/>
          </w:tcPr>
          <w:p>
            <w:pPr>
              <w:spacing w:line="300" w:lineRule="exact"/>
              <w:ind w:left="-107" w:leftChars="-51" w:firstLine="68" w:firstLineChars="38"/>
              <w:jc w:val="center"/>
              <w:rPr>
                <w:bCs/>
                <w:sz w:val="18"/>
                <w:szCs w:val="18"/>
              </w:rPr>
            </w:pPr>
            <w:r>
              <w:rPr>
                <w:rFonts w:hint="eastAsia"/>
                <w:bCs/>
                <w:sz w:val="18"/>
                <w:szCs w:val="18"/>
              </w:rPr>
              <w:t>采纳</w:t>
            </w:r>
          </w:p>
        </w:tc>
        <w:tc>
          <w:tcPr>
            <w:tcW w:w="2743" w:type="dxa"/>
            <w:vAlign w:val="center"/>
          </w:tcPr>
          <w:p>
            <w:pPr>
              <w:spacing w:line="300" w:lineRule="exact"/>
              <w:ind w:left="-107" w:leftChars="-51" w:firstLine="68" w:firstLineChars="38"/>
              <w:jc w:val="center"/>
              <w:rPr>
                <w:bCs/>
                <w:sz w:val="18"/>
                <w:szCs w:val="18"/>
              </w:rPr>
            </w:pPr>
            <w:r>
              <w:rPr>
                <w:rFonts w:hint="eastAsia"/>
                <w:bCs/>
                <w:sz w:val="18"/>
                <w:szCs w:val="18"/>
              </w:rPr>
              <w:t>按照意见进行了修改。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043" w:type="dxa"/>
            <w:vAlign w:val="center"/>
          </w:tcPr>
          <w:p>
            <w:pPr>
              <w:adjustRightInd w:val="0"/>
              <w:snapToGrid w:val="0"/>
              <w:jc w:val="center"/>
              <w:rPr>
                <w:bCs/>
                <w:color w:val="FF0000"/>
                <w:sz w:val="18"/>
                <w:szCs w:val="18"/>
              </w:rPr>
            </w:pPr>
          </w:p>
        </w:tc>
        <w:tc>
          <w:tcPr>
            <w:tcW w:w="1686" w:type="dxa"/>
            <w:vAlign w:val="center"/>
          </w:tcPr>
          <w:p>
            <w:pPr>
              <w:spacing w:line="300" w:lineRule="exact"/>
              <w:ind w:left="-107" w:leftChars="-51" w:firstLine="68" w:firstLineChars="38"/>
              <w:jc w:val="center"/>
              <w:rPr>
                <w:bCs/>
                <w:color w:val="FF0000"/>
                <w:sz w:val="18"/>
                <w:szCs w:val="18"/>
              </w:rPr>
            </w:pPr>
          </w:p>
        </w:tc>
        <w:tc>
          <w:tcPr>
            <w:tcW w:w="4534" w:type="dxa"/>
            <w:vAlign w:val="center"/>
          </w:tcPr>
          <w:p>
            <w:pPr>
              <w:spacing w:line="300" w:lineRule="exact"/>
              <w:ind w:left="-107" w:leftChars="-51" w:firstLine="68" w:firstLineChars="38"/>
              <w:jc w:val="center"/>
              <w:rPr>
                <w:bCs/>
                <w:color w:val="FF0000"/>
                <w:sz w:val="18"/>
                <w:szCs w:val="18"/>
              </w:rPr>
            </w:pPr>
          </w:p>
        </w:tc>
        <w:tc>
          <w:tcPr>
            <w:tcW w:w="1526" w:type="dxa"/>
            <w:vAlign w:val="center"/>
          </w:tcPr>
          <w:p>
            <w:pPr>
              <w:spacing w:line="300" w:lineRule="exact"/>
              <w:ind w:left="-107" w:leftChars="-51" w:firstLine="68" w:firstLineChars="38"/>
              <w:jc w:val="center"/>
              <w:rPr>
                <w:bCs/>
                <w:color w:val="FF0000"/>
                <w:sz w:val="18"/>
                <w:szCs w:val="18"/>
              </w:rPr>
            </w:pPr>
          </w:p>
        </w:tc>
        <w:tc>
          <w:tcPr>
            <w:tcW w:w="1170" w:type="dxa"/>
            <w:vAlign w:val="center"/>
          </w:tcPr>
          <w:p>
            <w:pPr>
              <w:spacing w:line="300" w:lineRule="exact"/>
              <w:ind w:left="-107" w:leftChars="-51" w:firstLine="68" w:firstLineChars="38"/>
              <w:jc w:val="center"/>
              <w:rPr>
                <w:bCs/>
                <w:color w:val="FF0000"/>
                <w:sz w:val="18"/>
                <w:szCs w:val="18"/>
              </w:rPr>
            </w:pPr>
          </w:p>
        </w:tc>
        <w:tc>
          <w:tcPr>
            <w:tcW w:w="2743" w:type="dxa"/>
            <w:vAlign w:val="center"/>
          </w:tcPr>
          <w:p>
            <w:pPr>
              <w:spacing w:line="300" w:lineRule="exact"/>
              <w:ind w:left="-107" w:leftChars="-51" w:firstLine="68" w:firstLineChars="38"/>
              <w:jc w:val="center"/>
              <w:rPr>
                <w:bCs/>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exact"/>
          <w:jc w:val="center"/>
        </w:trPr>
        <w:tc>
          <w:tcPr>
            <w:tcW w:w="12702" w:type="dxa"/>
            <w:gridSpan w:val="6"/>
            <w:vAlign w:val="center"/>
          </w:tcPr>
          <w:p>
            <w:pPr>
              <w:adjustRightInd w:val="0"/>
              <w:snapToGrid w:val="0"/>
              <w:jc w:val="center"/>
              <w:rPr>
                <w:bCs/>
                <w:color w:val="FF0000"/>
                <w:sz w:val="18"/>
                <w:szCs w:val="18"/>
              </w:rPr>
            </w:pPr>
            <w:r>
              <w:rPr>
                <w:rFonts w:hint="eastAsia"/>
                <w:bCs/>
                <w:sz w:val="18"/>
                <w:szCs w:val="18"/>
              </w:rPr>
              <w:t>说明：发送征求意见稿单位数2个，收到征求意见稿并提出意见的单位数2个，共收到4条意见，采纳4条意见。</w:t>
            </w:r>
          </w:p>
        </w:tc>
      </w:tr>
    </w:tbl>
    <w:p>
      <w:pPr>
        <w:jc w:val="center"/>
        <w:rPr>
          <w:rFonts w:hint="eastAsia" w:ascii="仿宋" w:hAnsi="仿宋" w:eastAsia="仿宋"/>
          <w:sz w:val="24"/>
        </w:rPr>
      </w:pPr>
    </w:p>
    <w:sectPr>
      <w:pgSz w:w="16838" w:h="11906" w:orient="landscape"/>
      <w:pgMar w:top="1803" w:right="1440" w:bottom="1803" w:left="1440" w:header="851" w:footer="992" w:gutter="0"/>
      <w:pgNumType w:start="1"/>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Mangal">
    <w:altName w:val="Noto Sans Syriac Eastern"/>
    <w:panose1 w:val="02040503050203030202"/>
    <w:charset w:val="00"/>
    <w:family w:val="roman"/>
    <w:pitch w:val="default"/>
    <w:sig w:usb0="00000000" w:usb1="00000000" w:usb2="00000000" w:usb3="00000000" w:csb0="00000001"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_GB2312">
    <w:altName w:val="方正仿宋_GBK"/>
    <w:panose1 w:val="00000000000000000000"/>
    <w:charset w:val="86"/>
    <w:family w:val="modern"/>
    <w:pitch w:val="default"/>
    <w:sig w:usb0="00000000" w:usb1="0000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2</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B30D03"/>
    <w:multiLevelType w:val="singleLevel"/>
    <w:tmpl w:val="EEB30D03"/>
    <w:lvl w:ilvl="0" w:tentative="0">
      <w:start w:val="6"/>
      <w:numFmt w:val="decimal"/>
      <w:suff w:val="nothing"/>
      <w:lvlText w:val="%1、"/>
      <w:lvlJc w:val="left"/>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true"/>
  <w:bordersDoNotSurroundFooter w:val="true"/>
  <w:documentProtection w:enforcement="0"/>
  <w:defaultTabStop w:val="420"/>
  <w:drawingGridHorizontalSpacing w:val="105"/>
  <w:drawingGridVerticalSpacing w:val="159"/>
  <w:displayVerticalDrawingGridEvery w:val="2"/>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lNWVhZmVjMDQ0M2I5Yjg4ZTk3OTU0MjllMzc3MTI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62E4F"/>
    <w:rsid w:val="00063D67"/>
    <w:rsid w:val="00073F3B"/>
    <w:rsid w:val="000754B9"/>
    <w:rsid w:val="00080D84"/>
    <w:rsid w:val="00087B70"/>
    <w:rsid w:val="0009360F"/>
    <w:rsid w:val="000943C5"/>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0F7A2D"/>
    <w:rsid w:val="00104D9E"/>
    <w:rsid w:val="00105792"/>
    <w:rsid w:val="001079E4"/>
    <w:rsid w:val="00114B28"/>
    <w:rsid w:val="00136B80"/>
    <w:rsid w:val="00140883"/>
    <w:rsid w:val="001422D2"/>
    <w:rsid w:val="00142DCA"/>
    <w:rsid w:val="001451F2"/>
    <w:rsid w:val="00152E9C"/>
    <w:rsid w:val="00153E55"/>
    <w:rsid w:val="00155235"/>
    <w:rsid w:val="0016381F"/>
    <w:rsid w:val="0016534D"/>
    <w:rsid w:val="001653E3"/>
    <w:rsid w:val="001653F2"/>
    <w:rsid w:val="001657F4"/>
    <w:rsid w:val="00184D77"/>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22C6"/>
    <w:rsid w:val="00283F95"/>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83B73"/>
    <w:rsid w:val="003925B2"/>
    <w:rsid w:val="00394B25"/>
    <w:rsid w:val="0039560A"/>
    <w:rsid w:val="00395F9D"/>
    <w:rsid w:val="003A21FE"/>
    <w:rsid w:val="003A5C65"/>
    <w:rsid w:val="003B0DE6"/>
    <w:rsid w:val="003B17F4"/>
    <w:rsid w:val="003B1D77"/>
    <w:rsid w:val="003B7D6F"/>
    <w:rsid w:val="003C3155"/>
    <w:rsid w:val="003C3911"/>
    <w:rsid w:val="003D3463"/>
    <w:rsid w:val="003D528A"/>
    <w:rsid w:val="003D6374"/>
    <w:rsid w:val="003D6FB0"/>
    <w:rsid w:val="003E0207"/>
    <w:rsid w:val="003E24D6"/>
    <w:rsid w:val="003E2D3A"/>
    <w:rsid w:val="003F035B"/>
    <w:rsid w:val="003F1FC6"/>
    <w:rsid w:val="003F3EBE"/>
    <w:rsid w:val="003F6B5C"/>
    <w:rsid w:val="00402952"/>
    <w:rsid w:val="004047A2"/>
    <w:rsid w:val="00404C7A"/>
    <w:rsid w:val="00407C56"/>
    <w:rsid w:val="00410C0E"/>
    <w:rsid w:val="00420EB4"/>
    <w:rsid w:val="004240E3"/>
    <w:rsid w:val="0043259C"/>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0C5"/>
    <w:rsid w:val="004A6D81"/>
    <w:rsid w:val="004A7E24"/>
    <w:rsid w:val="004B7966"/>
    <w:rsid w:val="004B7B8C"/>
    <w:rsid w:val="004D4066"/>
    <w:rsid w:val="004D62AF"/>
    <w:rsid w:val="004E42DA"/>
    <w:rsid w:val="004E45D5"/>
    <w:rsid w:val="004E531D"/>
    <w:rsid w:val="004E5AFA"/>
    <w:rsid w:val="004F10CE"/>
    <w:rsid w:val="004F397A"/>
    <w:rsid w:val="004F4490"/>
    <w:rsid w:val="004F4EF5"/>
    <w:rsid w:val="004F6A63"/>
    <w:rsid w:val="005002E2"/>
    <w:rsid w:val="00504A7B"/>
    <w:rsid w:val="0050538B"/>
    <w:rsid w:val="005119FA"/>
    <w:rsid w:val="00513F60"/>
    <w:rsid w:val="00514DAE"/>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D77FD"/>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2917"/>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2CE"/>
    <w:rsid w:val="006A4784"/>
    <w:rsid w:val="006A5225"/>
    <w:rsid w:val="006A7107"/>
    <w:rsid w:val="006B3E2E"/>
    <w:rsid w:val="006C472E"/>
    <w:rsid w:val="006C7054"/>
    <w:rsid w:val="006D0FBE"/>
    <w:rsid w:val="006D1116"/>
    <w:rsid w:val="006E02DD"/>
    <w:rsid w:val="006E1129"/>
    <w:rsid w:val="006E3C07"/>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C5E0C"/>
    <w:rsid w:val="007D012A"/>
    <w:rsid w:val="007D08C1"/>
    <w:rsid w:val="007D31A8"/>
    <w:rsid w:val="007E6D31"/>
    <w:rsid w:val="007F6EFA"/>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C6364"/>
    <w:rsid w:val="008E256F"/>
    <w:rsid w:val="008E454E"/>
    <w:rsid w:val="008F1AAD"/>
    <w:rsid w:val="008F5288"/>
    <w:rsid w:val="0091113A"/>
    <w:rsid w:val="00915F25"/>
    <w:rsid w:val="009166F0"/>
    <w:rsid w:val="00916E3B"/>
    <w:rsid w:val="00920385"/>
    <w:rsid w:val="009211BD"/>
    <w:rsid w:val="0092160B"/>
    <w:rsid w:val="009216A2"/>
    <w:rsid w:val="0092627B"/>
    <w:rsid w:val="00934199"/>
    <w:rsid w:val="009358E1"/>
    <w:rsid w:val="00936A6B"/>
    <w:rsid w:val="00944A68"/>
    <w:rsid w:val="00953792"/>
    <w:rsid w:val="00965B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2CB0"/>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2669"/>
    <w:rsid w:val="00AF58B6"/>
    <w:rsid w:val="00B01F81"/>
    <w:rsid w:val="00B03A6D"/>
    <w:rsid w:val="00B04CAD"/>
    <w:rsid w:val="00B04FD0"/>
    <w:rsid w:val="00B071E5"/>
    <w:rsid w:val="00B104BD"/>
    <w:rsid w:val="00B1146C"/>
    <w:rsid w:val="00B130AF"/>
    <w:rsid w:val="00B22B39"/>
    <w:rsid w:val="00B24ED8"/>
    <w:rsid w:val="00B267CE"/>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BF0ACB"/>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771AB"/>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DF758C"/>
    <w:rsid w:val="00E05868"/>
    <w:rsid w:val="00E07594"/>
    <w:rsid w:val="00E11D5F"/>
    <w:rsid w:val="00E15C5B"/>
    <w:rsid w:val="00E23F76"/>
    <w:rsid w:val="00E275CE"/>
    <w:rsid w:val="00E41C96"/>
    <w:rsid w:val="00E42650"/>
    <w:rsid w:val="00E4682B"/>
    <w:rsid w:val="00E47699"/>
    <w:rsid w:val="00E628B1"/>
    <w:rsid w:val="00E71D53"/>
    <w:rsid w:val="00E722BD"/>
    <w:rsid w:val="00E775B9"/>
    <w:rsid w:val="00E830F6"/>
    <w:rsid w:val="00E87347"/>
    <w:rsid w:val="00E945B0"/>
    <w:rsid w:val="00E94AFD"/>
    <w:rsid w:val="00E957AE"/>
    <w:rsid w:val="00EA6262"/>
    <w:rsid w:val="00EA6268"/>
    <w:rsid w:val="00EB4480"/>
    <w:rsid w:val="00EB6465"/>
    <w:rsid w:val="00EC7622"/>
    <w:rsid w:val="00ED34BC"/>
    <w:rsid w:val="00ED6677"/>
    <w:rsid w:val="00EE6530"/>
    <w:rsid w:val="00F00E80"/>
    <w:rsid w:val="00F0713A"/>
    <w:rsid w:val="00F11018"/>
    <w:rsid w:val="00F15AF4"/>
    <w:rsid w:val="00F16E22"/>
    <w:rsid w:val="00F17C71"/>
    <w:rsid w:val="00F27339"/>
    <w:rsid w:val="00F375A6"/>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20DD6433"/>
    <w:rsid w:val="3D25D500"/>
    <w:rsid w:val="3EEF98DD"/>
    <w:rsid w:val="3F9FD22F"/>
    <w:rsid w:val="470749E1"/>
    <w:rsid w:val="4F7B247E"/>
    <w:rsid w:val="57D94567"/>
    <w:rsid w:val="5CFF1606"/>
    <w:rsid w:val="5DFFCE9C"/>
    <w:rsid w:val="5FB81DCD"/>
    <w:rsid w:val="63BD8BA4"/>
    <w:rsid w:val="6BFEE3C0"/>
    <w:rsid w:val="6BFF0146"/>
    <w:rsid w:val="6EFD90F7"/>
    <w:rsid w:val="72DE18B7"/>
    <w:rsid w:val="7329008F"/>
    <w:rsid w:val="77C6AB6B"/>
    <w:rsid w:val="77FF4F98"/>
    <w:rsid w:val="79FF0142"/>
    <w:rsid w:val="7BFB120F"/>
    <w:rsid w:val="7F7F1836"/>
    <w:rsid w:val="7FDE9EE2"/>
    <w:rsid w:val="93EEA786"/>
    <w:rsid w:val="9CFB7DEA"/>
    <w:rsid w:val="ADAF1DB9"/>
    <w:rsid w:val="B5FF0B5B"/>
    <w:rsid w:val="B76B45F2"/>
    <w:rsid w:val="C8FF6E34"/>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6"/>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99"/>
    <w:pPr>
      <w:suppressLineNumbers/>
      <w:suppressAutoHyphens/>
      <w:spacing w:before="120" w:after="120"/>
    </w:pPr>
    <w:rPr>
      <w:rFonts w:cs="Mangal"/>
      <w:i/>
      <w:iCs/>
      <w:kern w:val="21"/>
      <w:sz w:val="24"/>
      <w:lang w:eastAsia="ar-SA"/>
    </w:rPr>
  </w:style>
  <w:style w:type="paragraph" w:styleId="5">
    <w:name w:val="Body Text"/>
    <w:basedOn w:val="1"/>
    <w:link w:val="26"/>
    <w:qFormat/>
    <w:uiPriority w:val="0"/>
    <w:pPr>
      <w:spacing w:after="120"/>
    </w:pPr>
  </w:style>
  <w:style w:type="paragraph" w:styleId="6">
    <w:name w:val="Date"/>
    <w:basedOn w:val="1"/>
    <w:next w:val="1"/>
    <w:link w:val="25"/>
    <w:semiHidden/>
    <w:unhideWhenUsed/>
    <w:qFormat/>
    <w:uiPriority w:val="99"/>
    <w:pPr>
      <w:ind w:left="100" w:leftChars="2500"/>
    </w:pPr>
  </w:style>
  <w:style w:type="paragraph" w:styleId="7">
    <w:name w:val="Balloon Text"/>
    <w:basedOn w:val="1"/>
    <w:link w:val="22"/>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99"/>
    <w:rPr>
      <w:rFonts w:cs="Times New Roman"/>
      <w:b/>
    </w:rPr>
  </w:style>
  <w:style w:type="character" w:customStyle="1" w:styleId="15">
    <w:name w:val="标题 1 字符"/>
    <w:link w:val="2"/>
    <w:qFormat/>
    <w:locked/>
    <w:uiPriority w:val="99"/>
    <w:rPr>
      <w:rFonts w:cs="Times New Roman"/>
      <w:b/>
      <w:kern w:val="1"/>
      <w:sz w:val="44"/>
      <w:lang w:eastAsia="ar-SA" w:bidi="ar-SA"/>
    </w:rPr>
  </w:style>
  <w:style w:type="character" w:customStyle="1" w:styleId="16">
    <w:name w:val="标题 3 字符"/>
    <w:link w:val="3"/>
    <w:qFormat/>
    <w:locked/>
    <w:uiPriority w:val="99"/>
    <w:rPr>
      <w:rFonts w:cs="Times New Roman"/>
      <w:b/>
      <w:kern w:val="21"/>
      <w:sz w:val="32"/>
      <w:lang w:eastAsia="ar-SA" w:bidi="ar-SA"/>
    </w:rPr>
  </w:style>
  <w:style w:type="paragraph" w:styleId="17">
    <w:name w:val="List Paragraph"/>
    <w:basedOn w:val="1"/>
    <w:qFormat/>
    <w:uiPriority w:val="99"/>
    <w:pPr>
      <w:suppressAutoHyphens/>
      <w:ind w:firstLine="420" w:firstLineChars="200"/>
    </w:pPr>
    <w:rPr>
      <w:kern w:val="21"/>
      <w:lang w:eastAsia="ar-SA"/>
    </w:rPr>
  </w:style>
  <w:style w:type="paragraph" w:customStyle="1" w:styleId="18">
    <w:name w:val="段"/>
    <w:link w:val="1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9">
    <w:name w:val="段 Char"/>
    <w:link w:val="18"/>
    <w:qFormat/>
    <w:locked/>
    <w:uiPriority w:val="0"/>
    <w:rPr>
      <w:rFonts w:ascii="宋体" w:cs="Times New Roman"/>
      <w:sz w:val="21"/>
      <w:lang w:val="en-US" w:eastAsia="zh-CN" w:bidi="ar-SA"/>
    </w:rPr>
  </w:style>
  <w:style w:type="character" w:customStyle="1" w:styleId="20">
    <w:name w:val="页眉 字符"/>
    <w:link w:val="9"/>
    <w:qFormat/>
    <w:uiPriority w:val="99"/>
    <w:rPr>
      <w:sz w:val="18"/>
      <w:szCs w:val="18"/>
    </w:rPr>
  </w:style>
  <w:style w:type="character" w:customStyle="1" w:styleId="21">
    <w:name w:val="页脚 字符"/>
    <w:link w:val="8"/>
    <w:qFormat/>
    <w:uiPriority w:val="99"/>
    <w:rPr>
      <w:sz w:val="18"/>
      <w:szCs w:val="18"/>
    </w:rPr>
  </w:style>
  <w:style w:type="character" w:customStyle="1" w:styleId="22">
    <w:name w:val="批注框文本 字符"/>
    <w:link w:val="7"/>
    <w:semiHidden/>
    <w:qFormat/>
    <w:uiPriority w:val="99"/>
    <w:rPr>
      <w:kern w:val="2"/>
      <w:sz w:val="18"/>
      <w:szCs w:val="18"/>
    </w:rPr>
  </w:style>
  <w:style w:type="table" w:customStyle="1" w:styleId="23">
    <w:name w:val="浅色底纹1"/>
    <w:basedOn w:val="11"/>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4">
    <w:name w:val="浅色底纹2"/>
    <w:basedOn w:val="11"/>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5">
    <w:name w:val="日期 字符"/>
    <w:basedOn w:val="13"/>
    <w:link w:val="6"/>
    <w:semiHidden/>
    <w:qFormat/>
    <w:uiPriority w:val="99"/>
    <w:rPr>
      <w:kern w:val="2"/>
      <w:sz w:val="21"/>
      <w:szCs w:val="24"/>
    </w:rPr>
  </w:style>
  <w:style w:type="character" w:customStyle="1" w:styleId="26">
    <w:name w:val="正文文本 字符"/>
    <w:basedOn w:val="13"/>
    <w:link w:val="5"/>
    <w:qFormat/>
    <w:uiPriority w:val="0"/>
    <w:rPr>
      <w:kern w:val="2"/>
      <w:sz w:val="21"/>
      <w:szCs w:val="24"/>
    </w:rPr>
  </w:style>
  <w:style w:type="paragraph" w:customStyle="1" w:styleId="27">
    <w:name w:val="标准文件_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8">
    <w:name w:val="标准文件_段 Char"/>
    <w:link w:val="27"/>
    <w:qFormat/>
    <w:uiPriority w:val="0"/>
    <w:rPr>
      <w:rFonts w:ascii="宋体"/>
      <w:sz w:val="21"/>
    </w:rPr>
  </w:style>
  <w:style w:type="paragraph" w:customStyle="1" w:styleId="29">
    <w:name w:val="一级条标题"/>
    <w:next w:val="18"/>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0">
    <w:name w:val="二级条标题"/>
    <w:basedOn w:val="29"/>
    <w:next w:val="18"/>
    <w:qFormat/>
    <w:uiPriority w:val="0"/>
    <w:pPr>
      <w:numPr>
        <w:ilvl w:val="2"/>
      </w:numPr>
      <w:spacing w:before="50" w:after="50"/>
      <w:outlineLvl w:val="3"/>
    </w:pPr>
  </w:style>
  <w:style w:type="paragraph" w:customStyle="1" w:styleId="31">
    <w:name w:val="附录表标题"/>
    <w:basedOn w:val="1"/>
    <w:next w:val="18"/>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617</Words>
  <Characters>3522</Characters>
  <Lines>29</Lines>
  <Paragraphs>8</Paragraphs>
  <TotalTime>328</TotalTime>
  <ScaleCrop>false</ScaleCrop>
  <LinksUpToDate>false</LinksUpToDate>
  <CharactersWithSpaces>4131</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2024-03-23T11:04:00Z</dcterms:created>
  <dc:creator>lenovo</dc:creator>
  <cp:lastModifiedBy>baixin</cp:lastModifiedBy>
  <cp:lastPrinted>2017-01-19T07:31:00Z</cp:lastPrinted>
  <dcterms:modified xsi:type="dcterms:W3CDTF">2024-08-07T11:28:00Z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